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1C" w:rsidRPr="006227ED" w:rsidRDefault="0042771C" w:rsidP="00A14463">
      <w:p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</w:rPr>
      </w:pPr>
    </w:p>
    <w:p w:rsidR="00415F31" w:rsidRPr="006227ED" w:rsidRDefault="00420DE3" w:rsidP="006227ED">
      <w:p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</w:rPr>
      </w:pPr>
      <w:r w:rsidRPr="006227ED">
        <w:rPr>
          <w:rFonts w:cs="Arial"/>
          <w:b/>
          <w:sz w:val="28"/>
          <w:szCs w:val="28"/>
        </w:rPr>
        <w:t xml:space="preserve">Průzkum </w:t>
      </w:r>
      <w:proofErr w:type="spellStart"/>
      <w:r w:rsidRPr="006227ED">
        <w:rPr>
          <w:rFonts w:cs="Arial"/>
          <w:b/>
          <w:sz w:val="28"/>
          <w:szCs w:val="28"/>
        </w:rPr>
        <w:t>Sberbank</w:t>
      </w:r>
      <w:proofErr w:type="spellEnd"/>
      <w:r w:rsidRPr="006227ED">
        <w:rPr>
          <w:rFonts w:cs="Arial"/>
          <w:b/>
          <w:sz w:val="28"/>
          <w:szCs w:val="28"/>
        </w:rPr>
        <w:t xml:space="preserve"> ukazuje, že </w:t>
      </w:r>
      <w:r w:rsidR="00415F31" w:rsidRPr="006227ED">
        <w:rPr>
          <w:rFonts w:cs="Arial"/>
          <w:b/>
          <w:sz w:val="28"/>
          <w:szCs w:val="28"/>
        </w:rPr>
        <w:t>Češi se zadlužují neefektivně</w:t>
      </w:r>
      <w:r w:rsidR="00FF63EB">
        <w:rPr>
          <w:rFonts w:cs="Arial"/>
          <w:b/>
          <w:sz w:val="28"/>
          <w:szCs w:val="28"/>
        </w:rPr>
        <w:t xml:space="preserve">. Ročně tím přichází o </w:t>
      </w:r>
      <w:r w:rsidR="00281761">
        <w:rPr>
          <w:rFonts w:cs="Arial"/>
          <w:b/>
          <w:sz w:val="28"/>
          <w:szCs w:val="28"/>
        </w:rPr>
        <w:t>tisíce korun</w:t>
      </w:r>
      <w:bookmarkStart w:id="0" w:name="_GoBack"/>
      <w:bookmarkEnd w:id="0"/>
    </w:p>
    <w:p w:rsidR="006227ED" w:rsidRPr="006227ED" w:rsidRDefault="006227ED" w:rsidP="006227ED">
      <w:p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</w:rPr>
      </w:pPr>
    </w:p>
    <w:p w:rsidR="00415F31" w:rsidRPr="006227ED" w:rsidRDefault="00C366A3" w:rsidP="00881566">
      <w:pPr>
        <w:autoSpaceDE w:val="0"/>
        <w:autoSpaceDN w:val="0"/>
        <w:adjustRightInd w:val="0"/>
        <w:spacing w:after="120" w:line="300" w:lineRule="exact"/>
        <w:jc w:val="both"/>
        <w:rPr>
          <w:rFonts w:cs="Arial"/>
          <w:b/>
          <w:noProof/>
          <w:szCs w:val="20"/>
        </w:rPr>
      </w:pPr>
      <w:r w:rsidRPr="006227ED">
        <w:rPr>
          <w:rFonts w:cs="Arial"/>
          <w:b/>
          <w:szCs w:val="20"/>
        </w:rPr>
        <w:t xml:space="preserve">Praha, </w:t>
      </w:r>
      <w:r w:rsidR="00281761">
        <w:rPr>
          <w:rFonts w:cs="Arial"/>
          <w:b/>
          <w:szCs w:val="20"/>
        </w:rPr>
        <w:t>18</w:t>
      </w:r>
      <w:r w:rsidR="006227ED" w:rsidRPr="006227ED">
        <w:rPr>
          <w:rFonts w:cs="Arial"/>
          <w:b/>
          <w:szCs w:val="20"/>
        </w:rPr>
        <w:t>. srpen</w:t>
      </w:r>
      <w:r w:rsidR="004D6366" w:rsidRPr="006227ED">
        <w:rPr>
          <w:rFonts w:cs="Arial"/>
          <w:b/>
          <w:szCs w:val="20"/>
        </w:rPr>
        <w:t xml:space="preserve"> 2015</w:t>
      </w:r>
      <w:r w:rsidR="00B474AA" w:rsidRPr="006227ED">
        <w:rPr>
          <w:rFonts w:cs="Arial"/>
          <w:b/>
          <w:szCs w:val="20"/>
        </w:rPr>
        <w:t xml:space="preserve"> –</w:t>
      </w:r>
      <w:r w:rsidR="00E675D9" w:rsidRPr="006227ED">
        <w:rPr>
          <w:rFonts w:cs="Arial"/>
          <w:b/>
          <w:szCs w:val="20"/>
        </w:rPr>
        <w:t xml:space="preserve"> </w:t>
      </w:r>
      <w:r w:rsidR="00FA46F6" w:rsidRPr="006227ED">
        <w:rPr>
          <w:rFonts w:cs="Arial"/>
          <w:b/>
          <w:szCs w:val="20"/>
        </w:rPr>
        <w:t xml:space="preserve">Zadlužení domácností stále meziročně roste. </w:t>
      </w:r>
      <w:r w:rsidR="0046657A" w:rsidRPr="006227ED">
        <w:rPr>
          <w:rFonts w:cs="Arial"/>
          <w:b/>
          <w:szCs w:val="20"/>
        </w:rPr>
        <w:t xml:space="preserve">Hypotéku, úvěr či spotřebitelskou </w:t>
      </w:r>
      <w:r w:rsidR="0046657A" w:rsidRPr="006227ED">
        <w:rPr>
          <w:rFonts w:cs="Arial"/>
          <w:b/>
          <w:noProof/>
          <w:szCs w:val="20"/>
        </w:rPr>
        <w:t xml:space="preserve">půjčku má podle údajů Bankovního a Nebankovního registru klientských informací asi </w:t>
      </w:r>
      <w:r w:rsidR="00FA46F6" w:rsidRPr="006227ED">
        <w:rPr>
          <w:rFonts w:cs="Arial"/>
          <w:b/>
          <w:noProof/>
          <w:szCs w:val="20"/>
        </w:rPr>
        <w:t>třetina</w:t>
      </w:r>
      <w:r w:rsidR="0046657A" w:rsidRPr="006227ED">
        <w:rPr>
          <w:rFonts w:cs="Arial"/>
          <w:b/>
          <w:noProof/>
          <w:szCs w:val="20"/>
        </w:rPr>
        <w:t xml:space="preserve"> Čechů.</w:t>
      </w:r>
      <w:r w:rsidR="00FA46F6" w:rsidRPr="006227ED">
        <w:rPr>
          <w:rFonts w:cs="Arial"/>
          <w:b/>
          <w:noProof/>
          <w:szCs w:val="20"/>
        </w:rPr>
        <w:t xml:space="preserve"> Podle průzkumu Sberbank </w:t>
      </w:r>
      <w:r w:rsidR="00415F31" w:rsidRPr="006227ED">
        <w:rPr>
          <w:rFonts w:cs="Arial"/>
          <w:b/>
          <w:noProof/>
          <w:szCs w:val="20"/>
        </w:rPr>
        <w:t xml:space="preserve">se však často Češi zadlužují neefektivně.  </w:t>
      </w:r>
    </w:p>
    <w:p w:rsidR="006227ED" w:rsidRDefault="006227ED" w:rsidP="006227ED">
      <w:pPr>
        <w:autoSpaceDE w:val="0"/>
        <w:autoSpaceDN w:val="0"/>
        <w:adjustRightInd w:val="0"/>
        <w:spacing w:after="0"/>
        <w:jc w:val="both"/>
        <w:rPr>
          <w:rFonts w:cs="Arial"/>
          <w:noProof/>
          <w:szCs w:val="20"/>
        </w:rPr>
      </w:pPr>
    </w:p>
    <w:p w:rsidR="006227ED" w:rsidRPr="006227ED" w:rsidRDefault="00415F31" w:rsidP="004762D3">
      <w:pPr>
        <w:autoSpaceDE w:val="0"/>
        <w:autoSpaceDN w:val="0"/>
        <w:adjustRightInd w:val="0"/>
        <w:spacing w:after="0"/>
        <w:jc w:val="both"/>
        <w:rPr>
          <w:rFonts w:cs="Arial"/>
          <w:noProof/>
          <w:szCs w:val="20"/>
        </w:rPr>
      </w:pPr>
      <w:r w:rsidRPr="006227ED">
        <w:rPr>
          <w:rFonts w:cs="Arial"/>
          <w:noProof/>
          <w:szCs w:val="20"/>
        </w:rPr>
        <w:t>Z </w:t>
      </w:r>
      <w:r w:rsidR="00C366A3" w:rsidRPr="006227ED">
        <w:rPr>
          <w:rFonts w:cs="Arial"/>
          <w:noProof/>
          <w:szCs w:val="20"/>
        </w:rPr>
        <w:t>dat</w:t>
      </w:r>
      <w:r w:rsidRPr="006227ED">
        <w:rPr>
          <w:rFonts w:cs="Arial"/>
          <w:noProof/>
          <w:szCs w:val="20"/>
        </w:rPr>
        <w:t xml:space="preserve"> Sberbank vyplývá, že ne</w:t>
      </w:r>
      <w:r w:rsidR="0046657A" w:rsidRPr="006227ED">
        <w:rPr>
          <w:rFonts w:cs="Arial"/>
          <w:noProof/>
          <w:szCs w:val="20"/>
        </w:rPr>
        <w:t xml:space="preserve">jvíce </w:t>
      </w:r>
      <w:r w:rsidR="00505483" w:rsidRPr="006227ED">
        <w:rPr>
          <w:rFonts w:cs="Arial"/>
          <w:noProof/>
          <w:szCs w:val="20"/>
        </w:rPr>
        <w:t xml:space="preserve">bankovních </w:t>
      </w:r>
      <w:r w:rsidR="0046657A" w:rsidRPr="006227ED">
        <w:rPr>
          <w:rFonts w:cs="Arial"/>
          <w:noProof/>
          <w:szCs w:val="20"/>
        </w:rPr>
        <w:t xml:space="preserve">půjček </w:t>
      </w:r>
      <w:r w:rsidR="00FA46F6" w:rsidRPr="006227ED">
        <w:rPr>
          <w:rFonts w:cs="Arial"/>
          <w:noProof/>
          <w:szCs w:val="20"/>
        </w:rPr>
        <w:t xml:space="preserve">berou </w:t>
      </w:r>
      <w:r w:rsidR="0046657A" w:rsidRPr="006227ED">
        <w:rPr>
          <w:rFonts w:cs="Arial"/>
          <w:noProof/>
          <w:szCs w:val="20"/>
        </w:rPr>
        <w:t>lidé v</w:t>
      </w:r>
      <w:r w:rsidR="00505483" w:rsidRPr="006227ED">
        <w:rPr>
          <w:rFonts w:cs="Arial"/>
          <w:noProof/>
          <w:szCs w:val="20"/>
        </w:rPr>
        <w:t xml:space="preserve">e velkých městech jako je </w:t>
      </w:r>
      <w:r w:rsidR="0046657A" w:rsidRPr="006227ED">
        <w:rPr>
          <w:rFonts w:cs="Arial"/>
          <w:noProof/>
          <w:szCs w:val="20"/>
        </w:rPr>
        <w:t>Pra</w:t>
      </w:r>
      <w:r w:rsidR="00505483" w:rsidRPr="006227ED">
        <w:rPr>
          <w:rFonts w:cs="Arial"/>
          <w:noProof/>
          <w:szCs w:val="20"/>
        </w:rPr>
        <w:t>ha</w:t>
      </w:r>
      <w:r w:rsidR="0046657A" w:rsidRPr="006227ED">
        <w:rPr>
          <w:rFonts w:cs="Arial"/>
          <w:noProof/>
          <w:szCs w:val="20"/>
        </w:rPr>
        <w:t xml:space="preserve"> a Brn</w:t>
      </w:r>
      <w:r w:rsidR="00505483" w:rsidRPr="006227ED">
        <w:rPr>
          <w:rFonts w:cs="Arial"/>
          <w:noProof/>
          <w:szCs w:val="20"/>
        </w:rPr>
        <w:t>o</w:t>
      </w:r>
      <w:r w:rsidR="0046657A" w:rsidRPr="006227ED">
        <w:rPr>
          <w:rFonts w:cs="Arial"/>
          <w:noProof/>
          <w:szCs w:val="20"/>
        </w:rPr>
        <w:t xml:space="preserve"> </w:t>
      </w:r>
      <w:r w:rsidR="00FA46F6" w:rsidRPr="006227ED">
        <w:rPr>
          <w:rFonts w:cs="Arial"/>
          <w:noProof/>
          <w:szCs w:val="20"/>
        </w:rPr>
        <w:t>a jsou to nejčastěji běžní zaměstnanci</w:t>
      </w:r>
      <w:r w:rsidR="009739A1" w:rsidRPr="006227ED">
        <w:rPr>
          <w:rFonts w:cs="Arial"/>
          <w:noProof/>
          <w:szCs w:val="20"/>
        </w:rPr>
        <w:t> průmyslových podniků nebo obchodních firem</w:t>
      </w:r>
      <w:r w:rsidR="00FA46F6" w:rsidRPr="006227ED">
        <w:rPr>
          <w:rFonts w:cs="Arial"/>
          <w:noProof/>
          <w:szCs w:val="20"/>
        </w:rPr>
        <w:t>.</w:t>
      </w:r>
      <w:r w:rsidR="009739A1" w:rsidRPr="006227ED">
        <w:rPr>
          <w:rFonts w:cs="Arial"/>
          <w:noProof/>
          <w:szCs w:val="20"/>
        </w:rPr>
        <w:t xml:space="preserve"> Nejvyšších částek</w:t>
      </w:r>
      <w:r w:rsidRPr="006227ED">
        <w:rPr>
          <w:rFonts w:cs="Arial"/>
          <w:noProof/>
          <w:szCs w:val="20"/>
        </w:rPr>
        <w:t xml:space="preserve"> zase</w:t>
      </w:r>
      <w:r w:rsidR="009739A1" w:rsidRPr="006227ED">
        <w:rPr>
          <w:rFonts w:cs="Arial"/>
          <w:noProof/>
          <w:szCs w:val="20"/>
        </w:rPr>
        <w:t xml:space="preserve"> dosahují půjčky v Ústeckém, Karlovarském, Moravskoslezském a Olomouckém kraji.</w:t>
      </w:r>
      <w:r w:rsidR="00C366A3" w:rsidRPr="006227ED">
        <w:rPr>
          <w:rFonts w:cs="Arial"/>
          <w:b/>
          <w:noProof/>
          <w:szCs w:val="20"/>
        </w:rPr>
        <w:t xml:space="preserve"> </w:t>
      </w:r>
      <w:r w:rsidR="006227ED" w:rsidRPr="006227ED">
        <w:rPr>
          <w:rFonts w:cs="Arial"/>
          <w:noProof/>
          <w:szCs w:val="20"/>
        </w:rPr>
        <w:t xml:space="preserve">Pro všechny regiony zůstává stále jedno společné – mnozí lidé své půjčky zbytečně přeplácí. </w:t>
      </w:r>
    </w:p>
    <w:p w:rsidR="006227ED" w:rsidRPr="006227ED" w:rsidRDefault="006227ED" w:rsidP="004762D3">
      <w:pPr>
        <w:autoSpaceDE w:val="0"/>
        <w:autoSpaceDN w:val="0"/>
        <w:adjustRightInd w:val="0"/>
        <w:spacing w:after="0"/>
        <w:jc w:val="both"/>
        <w:rPr>
          <w:rFonts w:cs="Arial"/>
          <w:noProof/>
          <w:szCs w:val="20"/>
        </w:rPr>
      </w:pPr>
    </w:p>
    <w:p w:rsidR="004762D3" w:rsidRPr="006227ED" w:rsidRDefault="00E91462" w:rsidP="004762D3">
      <w:pPr>
        <w:autoSpaceDE w:val="0"/>
        <w:autoSpaceDN w:val="0"/>
        <w:adjustRightInd w:val="0"/>
        <w:spacing w:after="120"/>
        <w:jc w:val="both"/>
        <w:rPr>
          <w:rFonts w:cs="Arial"/>
          <w:i/>
          <w:szCs w:val="20"/>
        </w:rPr>
      </w:pPr>
      <w:r w:rsidRPr="006227ED">
        <w:rPr>
          <w:rFonts w:cs="Arial"/>
          <w:szCs w:val="20"/>
        </w:rPr>
        <w:t>„</w:t>
      </w:r>
      <w:r w:rsidRPr="006227ED">
        <w:rPr>
          <w:rFonts w:cs="Arial"/>
          <w:i/>
          <w:szCs w:val="20"/>
        </w:rPr>
        <w:t>Češi jsou charakterističtí tím, že nemají na bankovním trhu přehled a pořádně nesro</w:t>
      </w:r>
      <w:r w:rsidR="00AC4CCA" w:rsidRPr="006227ED">
        <w:rPr>
          <w:rFonts w:cs="Arial"/>
          <w:i/>
          <w:szCs w:val="20"/>
        </w:rPr>
        <w:t>vnávají nabídky</w:t>
      </w:r>
      <w:r w:rsidRPr="006227ED">
        <w:rPr>
          <w:rFonts w:cs="Arial"/>
          <w:i/>
          <w:szCs w:val="20"/>
        </w:rPr>
        <w:t xml:space="preserve">. </w:t>
      </w:r>
      <w:r w:rsidR="00AC4CCA" w:rsidRPr="006227ED">
        <w:rPr>
          <w:rFonts w:cs="Arial"/>
          <w:i/>
          <w:szCs w:val="20"/>
        </w:rPr>
        <w:t>A to r</w:t>
      </w:r>
      <w:r w:rsidRPr="006227ED">
        <w:rPr>
          <w:rFonts w:cs="Arial"/>
          <w:i/>
          <w:szCs w:val="20"/>
        </w:rPr>
        <w:t xml:space="preserve">ozdíly ve splátkách mohou být i několik tisíc korun ročně. Pro zajímavost – až 66 % Čechů nemá přehled, za kolik si vlastně půjčili, i když při samotném sjednání půjčky pro ně byla výše úrokové míry důležitým kritériem,“ prozrazuje Roman </w:t>
      </w:r>
      <w:proofErr w:type="spellStart"/>
      <w:r w:rsidRPr="006227ED">
        <w:rPr>
          <w:rFonts w:cs="Arial"/>
          <w:i/>
          <w:szCs w:val="20"/>
        </w:rPr>
        <w:t>Knaus</w:t>
      </w:r>
      <w:proofErr w:type="spellEnd"/>
      <w:r w:rsidRPr="006227ED">
        <w:rPr>
          <w:rFonts w:cs="Arial"/>
          <w:i/>
          <w:szCs w:val="20"/>
        </w:rPr>
        <w:t xml:space="preserve">, ředitel retailových produktů </w:t>
      </w:r>
      <w:proofErr w:type="spellStart"/>
      <w:r w:rsidRPr="006227ED">
        <w:rPr>
          <w:rFonts w:cs="Arial"/>
          <w:i/>
          <w:szCs w:val="20"/>
        </w:rPr>
        <w:t>Sberbank</w:t>
      </w:r>
      <w:proofErr w:type="spellEnd"/>
      <w:r w:rsidRPr="006227ED">
        <w:rPr>
          <w:rFonts w:cs="Arial"/>
          <w:i/>
          <w:szCs w:val="20"/>
        </w:rPr>
        <w:t xml:space="preserve"> CZ.</w:t>
      </w:r>
    </w:p>
    <w:p w:rsidR="002B0247" w:rsidRPr="006227ED" w:rsidRDefault="00D40ED6" w:rsidP="004762D3">
      <w:pPr>
        <w:autoSpaceDE w:val="0"/>
        <w:autoSpaceDN w:val="0"/>
        <w:adjustRightInd w:val="0"/>
        <w:spacing w:after="120"/>
        <w:jc w:val="both"/>
        <w:rPr>
          <w:rFonts w:cs="Arial"/>
          <w:noProof/>
          <w:szCs w:val="20"/>
        </w:rPr>
      </w:pPr>
      <w:r w:rsidRPr="006227ED">
        <w:rPr>
          <w:rFonts w:cs="Arial"/>
          <w:noProof/>
          <w:szCs w:val="20"/>
        </w:rPr>
        <w:t xml:space="preserve">Zadlužování českých domácností je </w:t>
      </w:r>
      <w:r w:rsidR="00BA40D1" w:rsidRPr="006227ED">
        <w:rPr>
          <w:rFonts w:cs="Arial"/>
          <w:noProof/>
          <w:szCs w:val="20"/>
        </w:rPr>
        <w:t xml:space="preserve">podle tvrzení </w:t>
      </w:r>
      <w:r w:rsidR="00415F31" w:rsidRPr="006227ED">
        <w:rPr>
          <w:rFonts w:cs="Arial"/>
          <w:noProof/>
          <w:szCs w:val="20"/>
        </w:rPr>
        <w:t xml:space="preserve"> Sberbank</w:t>
      </w:r>
      <w:r w:rsidRPr="006227ED">
        <w:rPr>
          <w:rFonts w:cs="Arial"/>
          <w:noProof/>
          <w:szCs w:val="20"/>
        </w:rPr>
        <w:t xml:space="preserve"> neefektivní, protože</w:t>
      </w:r>
      <w:r w:rsidR="004B1A2A" w:rsidRPr="006227ED">
        <w:rPr>
          <w:rFonts w:cs="Arial"/>
          <w:noProof/>
          <w:szCs w:val="20"/>
        </w:rPr>
        <w:t xml:space="preserve"> </w:t>
      </w:r>
      <w:r w:rsidRPr="006227ED">
        <w:rPr>
          <w:rFonts w:cs="Arial"/>
          <w:noProof/>
          <w:szCs w:val="20"/>
        </w:rPr>
        <w:t xml:space="preserve">Češi v </w:t>
      </w:r>
      <w:r w:rsidR="004B1A2A" w:rsidRPr="006227ED">
        <w:rPr>
          <w:rFonts w:cs="Arial"/>
          <w:noProof/>
          <w:szCs w:val="20"/>
        </w:rPr>
        <w:t>půjčkách stále tápou. Když si půjčují, úrok chtějí co nejnižší, pak jej ale zapomenou</w:t>
      </w:r>
      <w:r w:rsidR="00B367CB" w:rsidRPr="006227ED">
        <w:rPr>
          <w:rFonts w:cs="Arial"/>
          <w:noProof/>
          <w:szCs w:val="20"/>
        </w:rPr>
        <w:t xml:space="preserve"> a nevšímají si, že se časem objeví výhodnější podmínky</w:t>
      </w:r>
      <w:r w:rsidR="004B1A2A" w:rsidRPr="006227ED">
        <w:rPr>
          <w:rFonts w:cs="Arial"/>
          <w:noProof/>
          <w:szCs w:val="20"/>
        </w:rPr>
        <w:t xml:space="preserve">. Často si také </w:t>
      </w:r>
      <w:r w:rsidR="00B367CB" w:rsidRPr="006227ED">
        <w:rPr>
          <w:rFonts w:cs="Arial"/>
          <w:noProof/>
          <w:szCs w:val="20"/>
        </w:rPr>
        <w:t xml:space="preserve">před sjednáním půjčky dobře </w:t>
      </w:r>
      <w:r w:rsidR="004B1A2A" w:rsidRPr="006227ED">
        <w:rPr>
          <w:rFonts w:cs="Arial"/>
          <w:noProof/>
          <w:szCs w:val="20"/>
        </w:rPr>
        <w:t xml:space="preserve">nesrovnávají nabídky a zbytečně tak přeplácí. Zdánlivě jednoduchý srovnávací úkon je pro mnohé Čechy nepřekonatelnou překážkou. Lidé z neznalosti nebo z pohodlnosti často kývnou na první nabídku, nemají </w:t>
      </w:r>
      <w:r w:rsidR="00760601" w:rsidRPr="006227ED">
        <w:rPr>
          <w:rFonts w:cs="Arial"/>
          <w:noProof/>
          <w:szCs w:val="20"/>
        </w:rPr>
        <w:t xml:space="preserve">celkový </w:t>
      </w:r>
      <w:r w:rsidR="004B1A2A" w:rsidRPr="006227ED">
        <w:rPr>
          <w:rFonts w:cs="Arial"/>
          <w:noProof/>
          <w:szCs w:val="20"/>
        </w:rPr>
        <w:t xml:space="preserve">přehled, a tak se připravují o možnost ušetřit. </w:t>
      </w:r>
      <w:r w:rsidR="002434E4" w:rsidRPr="006227ED">
        <w:rPr>
          <w:rFonts w:cs="Arial"/>
          <w:noProof/>
          <w:szCs w:val="20"/>
        </w:rPr>
        <w:t>Zvláště klienti velkých bank spoléhají na to, že automaticky získají lepší úrok. Mnohdy tomu tak ale není.</w:t>
      </w:r>
      <w:r w:rsidR="00DF1355" w:rsidRPr="006227ED">
        <w:rPr>
          <w:rFonts w:cs="Arial"/>
          <w:noProof/>
          <w:szCs w:val="20"/>
        </w:rPr>
        <w:t xml:space="preserve"> </w:t>
      </w:r>
      <w:r w:rsidR="00663670" w:rsidRPr="006227ED">
        <w:rPr>
          <w:rFonts w:cs="Arial"/>
          <w:noProof/>
          <w:szCs w:val="20"/>
        </w:rPr>
        <w:t xml:space="preserve"> Pro lepší úrok přitom už není nutné chodit na pobočku,  výhodnější půjčku lze sjednat online z pohodlí domova.</w:t>
      </w:r>
    </w:p>
    <w:p w:rsidR="00B15811" w:rsidRDefault="002B0247" w:rsidP="00C135BC">
      <w:pPr>
        <w:autoSpaceDE w:val="0"/>
        <w:autoSpaceDN w:val="0"/>
        <w:adjustRightInd w:val="0"/>
        <w:spacing w:after="120"/>
        <w:jc w:val="both"/>
        <w:rPr>
          <w:rFonts w:cs="Arial"/>
          <w:noProof/>
          <w:szCs w:val="20"/>
        </w:rPr>
      </w:pPr>
      <w:r w:rsidRPr="006227ED">
        <w:rPr>
          <w:rFonts w:cs="Arial"/>
          <w:noProof/>
          <w:szCs w:val="20"/>
        </w:rPr>
        <w:t>S</w:t>
      </w:r>
      <w:r w:rsidR="00E84172" w:rsidRPr="006227ED">
        <w:rPr>
          <w:rFonts w:cs="Arial"/>
          <w:noProof/>
          <w:szCs w:val="20"/>
        </w:rPr>
        <w:t xml:space="preserve">berbank klade důraz </w:t>
      </w:r>
      <w:r w:rsidR="00760601" w:rsidRPr="006227ED">
        <w:rPr>
          <w:rFonts w:cs="Arial"/>
          <w:noProof/>
          <w:szCs w:val="20"/>
        </w:rPr>
        <w:t xml:space="preserve">na </w:t>
      </w:r>
      <w:r w:rsidR="00E84172" w:rsidRPr="006227ED">
        <w:rPr>
          <w:rFonts w:cs="Arial"/>
          <w:noProof/>
          <w:szCs w:val="20"/>
        </w:rPr>
        <w:t xml:space="preserve">přehlednost </w:t>
      </w:r>
      <w:r w:rsidRPr="006227ED">
        <w:rPr>
          <w:rFonts w:cs="Arial"/>
          <w:noProof/>
          <w:szCs w:val="20"/>
        </w:rPr>
        <w:t>nabídky</w:t>
      </w:r>
      <w:r w:rsidR="00663670" w:rsidRPr="006227ED">
        <w:rPr>
          <w:rFonts w:cs="Arial"/>
          <w:noProof/>
          <w:szCs w:val="20"/>
        </w:rPr>
        <w:t xml:space="preserve"> a  možnost </w:t>
      </w:r>
      <w:r w:rsidR="00760601" w:rsidRPr="006227ED">
        <w:rPr>
          <w:rFonts w:cs="Arial"/>
          <w:noProof/>
          <w:szCs w:val="20"/>
        </w:rPr>
        <w:t xml:space="preserve">sjednat </w:t>
      </w:r>
      <w:r w:rsidR="00663670" w:rsidRPr="006227ED">
        <w:rPr>
          <w:rFonts w:cs="Arial"/>
          <w:noProof/>
          <w:szCs w:val="20"/>
        </w:rPr>
        <w:t xml:space="preserve"> o půjčku prostřednictvím </w:t>
      </w:r>
      <w:hyperlink r:id="rId8" w:history="1">
        <w:r w:rsidR="00663670" w:rsidRPr="006227ED">
          <w:rPr>
            <w:rStyle w:val="Hypertextovodkaz"/>
            <w:rFonts w:cs="Arial"/>
            <w:noProof/>
            <w:szCs w:val="20"/>
          </w:rPr>
          <w:t>e-shopu</w:t>
        </w:r>
      </w:hyperlink>
      <w:r w:rsidRPr="006227ED">
        <w:rPr>
          <w:rFonts w:cs="Arial"/>
          <w:noProof/>
          <w:szCs w:val="20"/>
        </w:rPr>
        <w:t xml:space="preserve">. Na webových stránkách si každý zájemce může jednoduše pomocí </w:t>
      </w:r>
      <w:hyperlink r:id="rId9" w:history="1">
        <w:r w:rsidRPr="006227ED">
          <w:rPr>
            <w:rStyle w:val="Hypertextovodkaz"/>
            <w:rFonts w:cs="Arial"/>
            <w:noProof/>
            <w:szCs w:val="20"/>
          </w:rPr>
          <w:t>kalkulátoru</w:t>
        </w:r>
      </w:hyperlink>
      <w:r w:rsidRPr="006227ED">
        <w:rPr>
          <w:rFonts w:cs="Arial"/>
          <w:noProof/>
          <w:szCs w:val="20"/>
        </w:rPr>
        <w:t xml:space="preserve"> spočítat</w:t>
      </w:r>
      <w:r w:rsidR="00630AD4" w:rsidRPr="006227ED">
        <w:rPr>
          <w:rFonts w:cs="Arial"/>
          <w:noProof/>
          <w:szCs w:val="20"/>
        </w:rPr>
        <w:t>, na kolik ho úvěr vyjde. Jednoduchým</w:t>
      </w:r>
      <w:r w:rsidR="00760601" w:rsidRPr="006227ED">
        <w:rPr>
          <w:rFonts w:cs="Arial"/>
          <w:noProof/>
          <w:szCs w:val="20"/>
        </w:rPr>
        <w:t xml:space="preserve"> srovnáním s ostatními bankami </w:t>
      </w:r>
      <w:r w:rsidR="00630AD4" w:rsidRPr="006227ED">
        <w:rPr>
          <w:rFonts w:cs="Arial"/>
          <w:noProof/>
          <w:szCs w:val="20"/>
        </w:rPr>
        <w:t>tak může pár kliků ušetřit tisíce korun.</w:t>
      </w:r>
      <w:r w:rsidR="00262515">
        <w:rPr>
          <w:rFonts w:cs="Arial"/>
          <w:noProof/>
          <w:szCs w:val="20"/>
        </w:rPr>
        <w:t xml:space="preserve"> V srpnu banka spo</w:t>
      </w:r>
      <w:r w:rsidR="00FF63EB">
        <w:rPr>
          <w:rFonts w:cs="Arial"/>
          <w:noProof/>
          <w:szCs w:val="20"/>
        </w:rPr>
        <w:t xml:space="preserve">třebitelské půjčky ještě více zvýhodnila a </w:t>
      </w:r>
      <w:r w:rsidR="00262515">
        <w:rPr>
          <w:rFonts w:cs="Arial"/>
          <w:noProof/>
          <w:szCs w:val="20"/>
        </w:rPr>
        <w:t>nabízí n</w:t>
      </w:r>
      <w:r w:rsidR="00FF63EB">
        <w:rPr>
          <w:rFonts w:cs="Arial"/>
          <w:noProof/>
          <w:szCs w:val="20"/>
        </w:rPr>
        <w:t xml:space="preserve">ižší splátky bez jakýchkoli dalších podmínek, včetně předčasného splacení zdarma. </w:t>
      </w:r>
    </w:p>
    <w:p w:rsidR="00D17AF2" w:rsidRPr="006227ED" w:rsidRDefault="00630AD4" w:rsidP="00C135BC">
      <w:pPr>
        <w:autoSpaceDE w:val="0"/>
        <w:autoSpaceDN w:val="0"/>
        <w:adjustRightInd w:val="0"/>
        <w:spacing w:after="120"/>
        <w:jc w:val="both"/>
        <w:rPr>
          <w:rFonts w:cs="Arial"/>
          <w:noProof/>
          <w:szCs w:val="20"/>
        </w:rPr>
      </w:pPr>
      <w:r w:rsidRPr="006227ED">
        <w:rPr>
          <w:rFonts w:cs="Arial"/>
          <w:noProof/>
          <w:szCs w:val="20"/>
        </w:rPr>
        <w:t>Možností, jak ušetřit</w:t>
      </w:r>
      <w:r w:rsidR="00760601" w:rsidRPr="006227ED">
        <w:rPr>
          <w:rFonts w:cs="Arial"/>
          <w:noProof/>
          <w:szCs w:val="20"/>
        </w:rPr>
        <w:t>, je více</w:t>
      </w:r>
      <w:r w:rsidR="005D4CD0">
        <w:rPr>
          <w:rFonts w:cs="Arial"/>
          <w:noProof/>
          <w:szCs w:val="20"/>
        </w:rPr>
        <w:t xml:space="preserve"> i pro ty, kteří se již v minulosti zadlužili.</w:t>
      </w:r>
      <w:r w:rsidR="002434E4" w:rsidRPr="006227ED">
        <w:rPr>
          <w:rFonts w:cs="Arial"/>
          <w:noProof/>
          <w:szCs w:val="20"/>
        </w:rPr>
        <w:t xml:space="preserve">  Lidé</w:t>
      </w:r>
      <w:r w:rsidR="007236A9" w:rsidRPr="006227ED">
        <w:rPr>
          <w:rFonts w:cs="Arial"/>
          <w:noProof/>
          <w:szCs w:val="20"/>
        </w:rPr>
        <w:t xml:space="preserve"> s více finančními závazky moho</w:t>
      </w:r>
      <w:r w:rsidR="002434E4" w:rsidRPr="006227ED">
        <w:rPr>
          <w:rFonts w:cs="Arial"/>
          <w:noProof/>
          <w:szCs w:val="20"/>
        </w:rPr>
        <w:t xml:space="preserve">u </w:t>
      </w:r>
      <w:r w:rsidRPr="006227ED">
        <w:rPr>
          <w:rFonts w:cs="Arial"/>
          <w:noProof/>
          <w:szCs w:val="20"/>
        </w:rPr>
        <w:t xml:space="preserve">využít možnosti sloučit </w:t>
      </w:r>
      <w:r w:rsidR="005D4CD0">
        <w:rPr>
          <w:rFonts w:cs="Arial"/>
          <w:noProof/>
          <w:szCs w:val="20"/>
        </w:rPr>
        <w:t xml:space="preserve">bankovní i nebankovní půjčky, půjčky jako </w:t>
      </w:r>
      <w:r w:rsidRPr="006227ED">
        <w:rPr>
          <w:rFonts w:cs="Arial"/>
          <w:noProof/>
          <w:szCs w:val="20"/>
        </w:rPr>
        <w:t xml:space="preserve">kontokorent, kreditní kartu do jedné půjčky a tím výrazně ulevit domácímu rozpočtu. </w:t>
      </w:r>
      <w:r w:rsidR="00C135BC">
        <w:rPr>
          <w:rFonts w:cs="Arial"/>
          <w:noProof/>
          <w:szCs w:val="20"/>
        </w:rPr>
        <w:t xml:space="preserve">Kromě sloučení může banka poskytnout i další peníze navíc. </w:t>
      </w:r>
      <w:r w:rsidR="00B15811">
        <w:rPr>
          <w:rFonts w:cs="Arial"/>
          <w:noProof/>
          <w:szCs w:val="20"/>
        </w:rPr>
        <w:t xml:space="preserve">Pro celkovou úsporu domácnosti je zajímavá možnost sloučit úvěry s jedním z nejbližších příbuzných. Sazby ve Sberbank začínají </w:t>
      </w:r>
      <w:r w:rsidR="00262515">
        <w:rPr>
          <w:rFonts w:cs="Arial"/>
          <w:noProof/>
          <w:szCs w:val="20"/>
        </w:rPr>
        <w:t>již</w:t>
      </w:r>
      <w:r w:rsidR="00B15811">
        <w:rPr>
          <w:rFonts w:cs="Arial"/>
          <w:noProof/>
          <w:szCs w:val="20"/>
        </w:rPr>
        <w:t xml:space="preserve"> od </w:t>
      </w:r>
      <w:r w:rsidR="00262515">
        <w:rPr>
          <w:rFonts w:cs="Arial"/>
          <w:noProof/>
          <w:szCs w:val="20"/>
        </w:rPr>
        <w:t xml:space="preserve"> 6,49 % p.a.</w:t>
      </w:r>
      <w:r w:rsidR="00A748CF" w:rsidRPr="006227ED">
        <w:rPr>
          <w:rFonts w:cs="Arial"/>
          <w:noProof/>
          <w:szCs w:val="20"/>
        </w:rPr>
        <w:t xml:space="preserve"> </w:t>
      </w:r>
    </w:p>
    <w:p w:rsidR="00D17AF2" w:rsidRPr="006227ED" w:rsidRDefault="00D17AF2" w:rsidP="004762D3">
      <w:pPr>
        <w:autoSpaceDE w:val="0"/>
        <w:autoSpaceDN w:val="0"/>
        <w:adjustRightInd w:val="0"/>
        <w:spacing w:after="120"/>
        <w:jc w:val="both"/>
        <w:rPr>
          <w:rFonts w:cs="Arial"/>
          <w:i/>
          <w:noProof/>
          <w:szCs w:val="20"/>
        </w:rPr>
      </w:pPr>
      <w:r w:rsidRPr="006227ED">
        <w:rPr>
          <w:rFonts w:cs="Arial"/>
          <w:i/>
          <w:noProof/>
          <w:szCs w:val="20"/>
        </w:rPr>
        <w:t>„Budeme rádi, pokud zveřejnění průzkumu přispěje k tomu, aby lidé více srovnávali nabídky a aktivně hledali nejvýhodnější banku</w:t>
      </w:r>
      <w:r w:rsidR="00884E8D" w:rsidRPr="006227ED">
        <w:rPr>
          <w:rFonts w:cs="Arial"/>
          <w:i/>
          <w:noProof/>
          <w:szCs w:val="20"/>
        </w:rPr>
        <w:t xml:space="preserve"> pro řešení </w:t>
      </w:r>
      <w:r w:rsidR="00760601" w:rsidRPr="006227ED">
        <w:rPr>
          <w:rFonts w:cs="Arial"/>
          <w:i/>
          <w:noProof/>
          <w:szCs w:val="20"/>
        </w:rPr>
        <w:t xml:space="preserve">jejich </w:t>
      </w:r>
      <w:r w:rsidR="00884E8D" w:rsidRPr="006227ED">
        <w:rPr>
          <w:rFonts w:cs="Arial"/>
          <w:i/>
          <w:noProof/>
          <w:szCs w:val="20"/>
        </w:rPr>
        <w:t>finanční situace</w:t>
      </w:r>
      <w:r w:rsidRPr="006227ED">
        <w:rPr>
          <w:rFonts w:cs="Arial"/>
          <w:i/>
          <w:noProof/>
          <w:szCs w:val="20"/>
        </w:rPr>
        <w:t xml:space="preserve">,“ shrnuje Roman Knaus. </w:t>
      </w:r>
    </w:p>
    <w:p w:rsidR="004762D3" w:rsidRDefault="004762D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0755F" w:rsidRPr="006227ED" w:rsidRDefault="0050755F" w:rsidP="004762D3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</w:p>
    <w:p w:rsidR="00881566" w:rsidRPr="006227ED" w:rsidRDefault="00881566" w:rsidP="005A591A">
      <w:pPr>
        <w:spacing w:after="0" w:line="240" w:lineRule="auto"/>
        <w:rPr>
          <w:rFonts w:cs="Arial"/>
          <w:b/>
          <w:szCs w:val="20"/>
        </w:rPr>
      </w:pPr>
    </w:p>
    <w:p w:rsidR="003307F2" w:rsidRPr="006227ED" w:rsidRDefault="006275BD" w:rsidP="005A591A">
      <w:pPr>
        <w:spacing w:after="0" w:line="240" w:lineRule="auto"/>
        <w:rPr>
          <w:rFonts w:cs="Arial"/>
          <w:szCs w:val="20"/>
        </w:rPr>
      </w:pPr>
      <w:r w:rsidRPr="006227ED">
        <w:rPr>
          <w:rFonts w:cs="Arial"/>
          <w:b/>
          <w:szCs w:val="20"/>
        </w:rPr>
        <w:t>Radim Kovács</w:t>
      </w:r>
    </w:p>
    <w:p w:rsidR="003307F2" w:rsidRPr="006227ED" w:rsidRDefault="003307F2" w:rsidP="003307F2">
      <w:pPr>
        <w:tabs>
          <w:tab w:val="left" w:pos="5103"/>
        </w:tabs>
        <w:spacing w:after="0" w:line="240" w:lineRule="auto"/>
        <w:rPr>
          <w:rFonts w:cs="Arial"/>
          <w:szCs w:val="20"/>
        </w:rPr>
      </w:pPr>
      <w:r w:rsidRPr="006227ED">
        <w:rPr>
          <w:rFonts w:cs="Arial"/>
          <w:szCs w:val="20"/>
        </w:rPr>
        <w:t xml:space="preserve">Tiskové oddělení </w:t>
      </w:r>
      <w:proofErr w:type="spellStart"/>
      <w:r w:rsidRPr="006227ED">
        <w:rPr>
          <w:rFonts w:cs="Arial"/>
          <w:szCs w:val="20"/>
        </w:rPr>
        <w:t>Sberbank</w:t>
      </w:r>
      <w:proofErr w:type="spellEnd"/>
      <w:r w:rsidRPr="006227ED">
        <w:rPr>
          <w:rFonts w:cs="Arial"/>
          <w:szCs w:val="20"/>
        </w:rPr>
        <w:t xml:space="preserve"> CZ, a.s.</w:t>
      </w:r>
    </w:p>
    <w:p w:rsidR="003307F2" w:rsidRPr="006227ED" w:rsidRDefault="006275BD" w:rsidP="003307F2">
      <w:pPr>
        <w:tabs>
          <w:tab w:val="left" w:pos="5103"/>
        </w:tabs>
        <w:spacing w:after="0" w:line="240" w:lineRule="auto"/>
        <w:rPr>
          <w:rFonts w:cs="Arial"/>
          <w:szCs w:val="20"/>
        </w:rPr>
      </w:pPr>
      <w:r w:rsidRPr="006227ED">
        <w:rPr>
          <w:rFonts w:cs="Arial"/>
          <w:szCs w:val="20"/>
        </w:rPr>
        <w:t>Tel.: 234 706 943, 724 012 617</w:t>
      </w:r>
      <w:r w:rsidR="003307F2" w:rsidRPr="006227ED">
        <w:rPr>
          <w:rFonts w:cs="Arial"/>
          <w:szCs w:val="20"/>
        </w:rPr>
        <w:t> </w:t>
      </w:r>
    </w:p>
    <w:p w:rsidR="003307F2" w:rsidRPr="006227ED" w:rsidRDefault="003307F2" w:rsidP="003307F2">
      <w:pPr>
        <w:tabs>
          <w:tab w:val="left" w:pos="5103"/>
        </w:tabs>
        <w:spacing w:after="0" w:line="240" w:lineRule="auto"/>
        <w:ind w:right="-108"/>
        <w:rPr>
          <w:rFonts w:cs="Arial"/>
          <w:szCs w:val="20"/>
        </w:rPr>
      </w:pPr>
      <w:r w:rsidRPr="006227ED">
        <w:rPr>
          <w:rFonts w:cs="Arial"/>
          <w:b/>
          <w:szCs w:val="20"/>
        </w:rPr>
        <w:t>E-mail:</w:t>
      </w:r>
      <w:r w:rsidR="006275BD" w:rsidRPr="006227ED">
        <w:rPr>
          <w:rFonts w:cs="Arial"/>
          <w:szCs w:val="20"/>
        </w:rPr>
        <w:t xml:space="preserve"> kovacs.radim</w:t>
      </w:r>
      <w:r w:rsidRPr="006227ED">
        <w:rPr>
          <w:rFonts w:cs="Arial"/>
          <w:szCs w:val="20"/>
        </w:rPr>
        <w:t>@sberbankcz.cz</w:t>
      </w:r>
    </w:p>
    <w:p w:rsidR="003307F2" w:rsidRPr="006227ED" w:rsidRDefault="002E4680" w:rsidP="003307F2">
      <w:pPr>
        <w:tabs>
          <w:tab w:val="left" w:pos="5103"/>
        </w:tabs>
        <w:spacing w:line="240" w:lineRule="auto"/>
        <w:contextualSpacing/>
        <w:rPr>
          <w:rFonts w:cs="Arial"/>
          <w:b/>
          <w:color w:val="00703C"/>
          <w:szCs w:val="20"/>
        </w:rPr>
      </w:pPr>
      <w:hyperlink r:id="rId10" w:history="1">
        <w:r w:rsidR="00434AAF" w:rsidRPr="006227ED">
          <w:rPr>
            <w:rStyle w:val="Hypertextovodkaz"/>
            <w:rFonts w:cs="Arial"/>
            <w:b/>
            <w:szCs w:val="20"/>
          </w:rPr>
          <w:t>www.Sberbank.cz</w:t>
        </w:r>
      </w:hyperlink>
      <w:hyperlink r:id="rId11" w:history="1"/>
    </w:p>
    <w:p w:rsidR="005A591A" w:rsidRPr="006227ED" w:rsidRDefault="005A591A" w:rsidP="00096DB7">
      <w:pPr>
        <w:spacing w:line="240" w:lineRule="auto"/>
        <w:contextualSpacing/>
        <w:jc w:val="both"/>
        <w:rPr>
          <w:rFonts w:cs="Arial"/>
          <w:b/>
          <w:color w:val="00703C"/>
          <w:szCs w:val="20"/>
        </w:rPr>
      </w:pPr>
    </w:p>
    <w:p w:rsidR="00096DB7" w:rsidRPr="006227ED" w:rsidRDefault="002E4680" w:rsidP="00096DB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noProof/>
          <w:lang w:val="en-US"/>
        </w:rPr>
        <w:pict>
          <v:line id="Line 7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Hw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" strokecolor="#a5a5a5"/>
        </w:pict>
      </w:r>
    </w:p>
    <w:p w:rsidR="00096DB7" w:rsidRPr="006227ED" w:rsidRDefault="00096DB7" w:rsidP="003307F2">
      <w:pPr>
        <w:spacing w:after="120" w:line="240" w:lineRule="auto"/>
        <w:jc w:val="both"/>
        <w:rPr>
          <w:rFonts w:cs="Arial"/>
          <w:b/>
          <w:bCs/>
          <w:color w:val="008000"/>
          <w:sz w:val="18"/>
          <w:szCs w:val="18"/>
        </w:rPr>
      </w:pPr>
      <w:r w:rsidRPr="006227ED">
        <w:rPr>
          <w:rFonts w:cs="Arial"/>
          <w:b/>
          <w:bCs/>
          <w:color w:val="008000"/>
          <w:sz w:val="18"/>
          <w:szCs w:val="18"/>
        </w:rPr>
        <w:t xml:space="preserve">O společnosti </w:t>
      </w:r>
      <w:proofErr w:type="spellStart"/>
      <w:r w:rsidRPr="006227ED">
        <w:rPr>
          <w:rFonts w:cs="Arial"/>
          <w:b/>
          <w:bCs/>
          <w:color w:val="008000"/>
          <w:sz w:val="18"/>
          <w:szCs w:val="18"/>
        </w:rPr>
        <w:t>Sberbank</w:t>
      </w:r>
      <w:proofErr w:type="spellEnd"/>
      <w:r w:rsidRPr="006227ED">
        <w:rPr>
          <w:rFonts w:cs="Arial"/>
          <w:b/>
          <w:bCs/>
          <w:color w:val="008000"/>
          <w:sz w:val="18"/>
          <w:szCs w:val="18"/>
        </w:rPr>
        <w:t xml:space="preserve"> CZ, a.s.</w:t>
      </w:r>
    </w:p>
    <w:p w:rsidR="00382B9D" w:rsidRPr="006227ED" w:rsidRDefault="00096DB7" w:rsidP="00186766">
      <w:pPr>
        <w:pStyle w:val="Bezmezer1"/>
        <w:spacing w:after="240"/>
        <w:jc w:val="both"/>
        <w:rPr>
          <w:rFonts w:ascii="Arial" w:hAnsi="Arial" w:cs="Arial"/>
          <w:b/>
          <w:color w:val="008000"/>
          <w:sz w:val="17"/>
          <w:szCs w:val="17"/>
        </w:rPr>
      </w:pPr>
      <w:r w:rsidRPr="006227ED">
        <w:rPr>
          <w:rFonts w:ascii="Arial" w:hAnsi="Arial" w:cs="Arial"/>
          <w:color w:val="008000"/>
          <w:sz w:val="17"/>
          <w:szCs w:val="17"/>
        </w:rPr>
        <w:t xml:space="preserve">Na českém trhu působí </w:t>
      </w:r>
      <w:proofErr w:type="spellStart"/>
      <w:r w:rsidRPr="006227E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6227ED">
        <w:rPr>
          <w:rFonts w:ascii="Arial" w:hAnsi="Arial" w:cs="Arial"/>
          <w:color w:val="008000"/>
          <w:sz w:val="17"/>
          <w:szCs w:val="17"/>
        </w:rPr>
        <w:t xml:space="preserve"> CZ (do února 2013 pod názvem </w:t>
      </w:r>
      <w:proofErr w:type="spellStart"/>
      <w:r w:rsidRPr="006227ED">
        <w:rPr>
          <w:rFonts w:ascii="Arial" w:hAnsi="Arial" w:cs="Arial"/>
          <w:color w:val="008000"/>
          <w:sz w:val="17"/>
          <w:szCs w:val="17"/>
        </w:rPr>
        <w:t>Volksbank</w:t>
      </w:r>
      <w:proofErr w:type="spellEnd"/>
      <w:r w:rsidRPr="006227ED">
        <w:rPr>
          <w:rFonts w:ascii="Arial" w:hAnsi="Arial" w:cs="Arial"/>
          <w:color w:val="008000"/>
          <w:sz w:val="17"/>
          <w:szCs w:val="17"/>
        </w:rPr>
        <w:t xml:space="preserve"> CZ) již od roku 1993, o</w:t>
      </w:r>
      <w:r w:rsidR="003307F2" w:rsidRPr="006227ED">
        <w:rPr>
          <w:rFonts w:ascii="Arial" w:hAnsi="Arial" w:cs="Arial"/>
          <w:color w:val="008000"/>
          <w:sz w:val="17"/>
          <w:szCs w:val="17"/>
        </w:rPr>
        <w:t>d 1. ledna 1997 jako samostatná</w:t>
      </w:r>
      <w:r w:rsidR="003307F2" w:rsidRPr="006227ED">
        <w:rPr>
          <w:rFonts w:ascii="Arial" w:hAnsi="Arial" w:cs="Arial"/>
          <w:color w:val="008000"/>
          <w:sz w:val="17"/>
          <w:szCs w:val="17"/>
        </w:rPr>
        <w:br/>
      </w:r>
      <w:r w:rsidRPr="006227ED">
        <w:rPr>
          <w:rFonts w:ascii="Arial" w:hAnsi="Arial" w:cs="Arial"/>
          <w:color w:val="008000"/>
          <w:sz w:val="17"/>
          <w:szCs w:val="17"/>
        </w:rPr>
        <w:t xml:space="preserve">akciová společnost. Jejím majoritním vlastníkem je </w:t>
      </w:r>
      <w:proofErr w:type="spellStart"/>
      <w:r w:rsidRPr="006227E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6227ED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6227ED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6227ED">
        <w:rPr>
          <w:rFonts w:ascii="Arial" w:hAnsi="Arial" w:cs="Arial"/>
          <w:color w:val="008000"/>
          <w:sz w:val="17"/>
          <w:szCs w:val="17"/>
        </w:rPr>
        <w:t xml:space="preserve"> AG. </w:t>
      </w:r>
      <w:proofErr w:type="spellStart"/>
      <w:r w:rsidRPr="006227E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6227ED">
        <w:rPr>
          <w:rFonts w:ascii="Arial" w:hAnsi="Arial" w:cs="Arial"/>
          <w:color w:val="008000"/>
          <w:sz w:val="17"/>
          <w:szCs w:val="17"/>
        </w:rPr>
        <w:t xml:space="preserve"> CZ je obchodní bankou se širokou nabídkou finančních produktů a služeb pro privátní i firemní klientelu. </w:t>
      </w:r>
      <w:r w:rsidR="00186766" w:rsidRPr="006227ED">
        <w:rPr>
          <w:rFonts w:ascii="Arial" w:hAnsi="Arial" w:cs="Arial"/>
          <w:color w:val="008000"/>
          <w:sz w:val="17"/>
          <w:szCs w:val="17"/>
        </w:rPr>
        <w:t xml:space="preserve">Může se </w:t>
      </w:r>
      <w:r w:rsidRPr="006227ED">
        <w:rPr>
          <w:rFonts w:ascii="Arial" w:hAnsi="Arial" w:cs="Arial"/>
          <w:color w:val="008000"/>
          <w:sz w:val="17"/>
          <w:szCs w:val="17"/>
        </w:rPr>
        <w:t xml:space="preserve">pochlubit druhým místem v soutěži </w:t>
      </w:r>
      <w:r w:rsidRPr="006227ED">
        <w:rPr>
          <w:rFonts w:ascii="Arial" w:hAnsi="Arial" w:cs="Arial"/>
          <w:b/>
          <w:color w:val="008000"/>
          <w:sz w:val="17"/>
          <w:szCs w:val="17"/>
        </w:rPr>
        <w:t>Klientsky nejpřívětivější banka roku 2014</w:t>
      </w:r>
      <w:r w:rsidR="00DA68DB" w:rsidRPr="006227ED">
        <w:rPr>
          <w:rFonts w:ascii="Arial" w:hAnsi="Arial" w:cs="Arial"/>
          <w:b/>
          <w:color w:val="008000"/>
          <w:sz w:val="17"/>
          <w:szCs w:val="17"/>
        </w:rPr>
        <w:t xml:space="preserve"> </w:t>
      </w:r>
      <w:r w:rsidR="00DA68DB" w:rsidRPr="006227ED">
        <w:rPr>
          <w:rFonts w:ascii="Arial" w:hAnsi="Arial" w:cs="Arial"/>
          <w:color w:val="008000"/>
          <w:sz w:val="17"/>
          <w:szCs w:val="17"/>
        </w:rPr>
        <w:t xml:space="preserve">a spořicí účet byl oceněn jako </w:t>
      </w:r>
      <w:r w:rsidR="00DA68DB" w:rsidRPr="006227ED">
        <w:rPr>
          <w:rFonts w:ascii="Arial" w:hAnsi="Arial" w:cs="Arial"/>
          <w:b/>
          <w:color w:val="008000"/>
          <w:sz w:val="17"/>
          <w:szCs w:val="17"/>
        </w:rPr>
        <w:t>Nejlepší finanční produkt roku 2014</w:t>
      </w:r>
      <w:r w:rsidR="00DA68DB" w:rsidRPr="006227ED">
        <w:rPr>
          <w:rFonts w:ascii="Arial" w:hAnsi="Arial" w:cs="Arial"/>
          <w:color w:val="008000"/>
          <w:sz w:val="17"/>
          <w:szCs w:val="17"/>
        </w:rPr>
        <w:t>.</w:t>
      </w:r>
    </w:p>
    <w:sectPr w:rsidR="00382B9D" w:rsidRPr="006227ED" w:rsidSect="00612EA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80" w:rsidRDefault="002E4680" w:rsidP="007A3AA0">
      <w:pPr>
        <w:spacing w:after="0" w:line="240" w:lineRule="auto"/>
      </w:pPr>
      <w:r>
        <w:separator/>
      </w:r>
    </w:p>
  </w:endnote>
  <w:endnote w:type="continuationSeparator" w:id="0">
    <w:p w:rsidR="002E4680" w:rsidRDefault="002E4680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0" w:rsidRDefault="005D4C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0" w:rsidRDefault="005D4CD0" w:rsidP="00612EAB">
    <w:pPr>
      <w:pStyle w:val="Zpat"/>
    </w:pPr>
    <w:proofErr w:type="spellStart"/>
    <w:r w:rsidRPr="00AB7E9D">
      <w:rPr>
        <w:rFonts w:cs="Arial"/>
        <w:sz w:val="12"/>
        <w:szCs w:val="12"/>
      </w:rPr>
      <w:t>Sberbank</w:t>
    </w:r>
    <w:proofErr w:type="spellEnd"/>
    <w:r w:rsidRPr="00AB7E9D">
      <w:rPr>
        <w:rFonts w:cs="Arial"/>
        <w:sz w:val="12"/>
        <w:szCs w:val="12"/>
      </w:rPr>
      <w:t xml:space="preserve"> CZ, a.s. je zapsaná v obchodním rejstříku vedeném Městským soudem v Praze, v oddílu B, vložce 4353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80" w:rsidRDefault="002E4680" w:rsidP="007A3AA0">
      <w:pPr>
        <w:spacing w:after="0" w:line="240" w:lineRule="auto"/>
      </w:pPr>
      <w:r>
        <w:separator/>
      </w:r>
    </w:p>
  </w:footnote>
  <w:footnote w:type="continuationSeparator" w:id="0">
    <w:p w:rsidR="002E4680" w:rsidRDefault="002E4680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0" w:rsidRPr="007A3AA0" w:rsidRDefault="005D4CD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19050" t="0" r="254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Pr="00AB7E9D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9290" cy="673100"/>
          <wp:effectExtent l="1905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5825490</wp:posOffset>
          </wp:positionH>
          <wp:positionV relativeFrom="page">
            <wp:posOffset>568960</wp:posOffset>
          </wp:positionV>
          <wp:extent cx="673100" cy="673100"/>
          <wp:effectExtent l="1905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19050" t="0" r="5715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4680">
      <w:rPr>
        <w:noProof/>
        <w:lang w:val="en-US"/>
      </w:rPr>
      <w:pict>
        <v:line id="Přímá spojnice 3" o:spid="_x0000_s2049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X51z&#10;xdoBAACMAwAADgAAAAAAAAAAAAAAAAAuAgAAZHJzL2Uyb0RvYy54bWxQSwECLQAUAAYACAAAACEA&#10;kjuKw9wAAAAJAQAADwAAAAAAAAAAAAAAAAA0BAAAZHJzL2Rvd25yZXYueG1sUEsFBgAAAAAEAAQA&#10;8wAAAD0FAAAAAA==&#10;" strokecolor="windowText" strokeweight=".5pt">
          <o:lock v:ext="edit" shapetype="f"/>
          <w10:wrap anchory="page"/>
          <w10:anchorlock/>
        </v:line>
      </w:pict>
    </w:r>
    <w:proofErr w:type="spellStart"/>
    <w:r w:rsidRPr="00AB7E9D">
      <w:rPr>
        <w:rFonts w:cs="Arial"/>
        <w:sz w:val="15"/>
        <w:szCs w:val="15"/>
      </w:rPr>
      <w:t>Sberbank</w:t>
    </w:r>
    <w:proofErr w:type="spellEnd"/>
    <w:r w:rsidRPr="00AB7E9D">
      <w:rPr>
        <w:rFonts w:cs="Arial"/>
        <w:sz w:val="15"/>
        <w:szCs w:val="15"/>
      </w:rPr>
      <w:t xml:space="preserve"> CZ, a.s.</w:t>
    </w:r>
  </w:p>
  <w:p w:rsidR="005D4CD0" w:rsidRPr="00AB7E9D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Na Pankráci 1724/129, 140 00 Praha 4, Česká republika</w:t>
    </w:r>
  </w:p>
  <w:p w:rsidR="005D4CD0" w:rsidRPr="00AB7E9D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IČ: 25083325, DIČ: CZ25083325</w:t>
    </w:r>
  </w:p>
  <w:p w:rsidR="005D4CD0" w:rsidRPr="00AB7E9D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:rsidR="005D4CD0" w:rsidRPr="00AB7E9D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www.sberbankcz.cz,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Default="005D4CD0" w:rsidP="00442C94">
    <w:pPr>
      <w:pStyle w:val="Zhlav"/>
      <w:spacing w:line="180" w:lineRule="exact"/>
      <w:rPr>
        <w:rFonts w:cs="Arial"/>
        <w:sz w:val="15"/>
        <w:szCs w:val="15"/>
      </w:rPr>
    </w:pPr>
  </w:p>
  <w:p w:rsidR="005D4CD0" w:rsidRPr="00BE20B4" w:rsidRDefault="005D4CD0" w:rsidP="00096DB7">
    <w:pPr>
      <w:pStyle w:val="Zhlav"/>
      <w:spacing w:line="520" w:lineRule="exact"/>
      <w:rPr>
        <w:rFonts w:cs="Arial"/>
        <w:spacing w:val="-10"/>
        <w:sz w:val="48"/>
        <w:szCs w:val="52"/>
      </w:rPr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3850005</wp:posOffset>
          </wp:positionV>
          <wp:extent cx="7543800" cy="49034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90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20B4">
      <w:rPr>
        <w:rFonts w:cs="Arial"/>
        <w:spacing w:val="-10"/>
        <w:sz w:val="48"/>
        <w:szCs w:val="52"/>
      </w:rPr>
      <w:t>TISKOVÁ ZPRÁVA</w:t>
    </w:r>
  </w:p>
  <w:p w:rsidR="005D4CD0" w:rsidRPr="00442C94" w:rsidRDefault="005D4CD0" w:rsidP="00096DB7">
    <w:pPr>
      <w:pStyle w:val="Zhlav"/>
      <w:spacing w:line="520" w:lineRule="exact"/>
      <w:rPr>
        <w:rFonts w:cs="Arial"/>
        <w:spacing w:val="-1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5F2"/>
    <w:multiLevelType w:val="multilevel"/>
    <w:tmpl w:val="D2C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71D70"/>
    <w:multiLevelType w:val="multilevel"/>
    <w:tmpl w:val="100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9580A"/>
    <w:multiLevelType w:val="multilevel"/>
    <w:tmpl w:val="5B8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D8"/>
    <w:rsid w:val="00002162"/>
    <w:rsid w:val="000138C4"/>
    <w:rsid w:val="0002011B"/>
    <w:rsid w:val="00025358"/>
    <w:rsid w:val="00035487"/>
    <w:rsid w:val="000423D1"/>
    <w:rsid w:val="000435B5"/>
    <w:rsid w:val="00043D4A"/>
    <w:rsid w:val="000617AB"/>
    <w:rsid w:val="00067E1D"/>
    <w:rsid w:val="00067E7E"/>
    <w:rsid w:val="00072117"/>
    <w:rsid w:val="00086417"/>
    <w:rsid w:val="00093A2C"/>
    <w:rsid w:val="00096DB7"/>
    <w:rsid w:val="000A215A"/>
    <w:rsid w:val="000A58EA"/>
    <w:rsid w:val="000F7E39"/>
    <w:rsid w:val="00105D43"/>
    <w:rsid w:val="00117BA3"/>
    <w:rsid w:val="001628C9"/>
    <w:rsid w:val="001668BD"/>
    <w:rsid w:val="0017069F"/>
    <w:rsid w:val="001727C7"/>
    <w:rsid w:val="00177F1D"/>
    <w:rsid w:val="00186766"/>
    <w:rsid w:val="00194731"/>
    <w:rsid w:val="0019567A"/>
    <w:rsid w:val="001A6376"/>
    <w:rsid w:val="001A782C"/>
    <w:rsid w:val="001B4E53"/>
    <w:rsid w:val="001C7A49"/>
    <w:rsid w:val="001D38B0"/>
    <w:rsid w:val="001D5DA0"/>
    <w:rsid w:val="001D66AE"/>
    <w:rsid w:val="001D6FE4"/>
    <w:rsid w:val="001E1074"/>
    <w:rsid w:val="001E3415"/>
    <w:rsid w:val="001E7CE5"/>
    <w:rsid w:val="001F1F52"/>
    <w:rsid w:val="001F374C"/>
    <w:rsid w:val="001F60BA"/>
    <w:rsid w:val="002079D6"/>
    <w:rsid w:val="00233B90"/>
    <w:rsid w:val="002434E4"/>
    <w:rsid w:val="002579E5"/>
    <w:rsid w:val="00262515"/>
    <w:rsid w:val="00262815"/>
    <w:rsid w:val="00281761"/>
    <w:rsid w:val="00282B48"/>
    <w:rsid w:val="002872B1"/>
    <w:rsid w:val="002923F6"/>
    <w:rsid w:val="002A120C"/>
    <w:rsid w:val="002A35E6"/>
    <w:rsid w:val="002B0247"/>
    <w:rsid w:val="002B1729"/>
    <w:rsid w:val="002B3D20"/>
    <w:rsid w:val="002B6355"/>
    <w:rsid w:val="002D4D2D"/>
    <w:rsid w:val="002E3E8D"/>
    <w:rsid w:val="002E4680"/>
    <w:rsid w:val="003041CC"/>
    <w:rsid w:val="00311ACF"/>
    <w:rsid w:val="003307F2"/>
    <w:rsid w:val="0033246B"/>
    <w:rsid w:val="00333EED"/>
    <w:rsid w:val="00341AFD"/>
    <w:rsid w:val="003504C6"/>
    <w:rsid w:val="00354EB8"/>
    <w:rsid w:val="003677BB"/>
    <w:rsid w:val="0037040E"/>
    <w:rsid w:val="00382B9D"/>
    <w:rsid w:val="00394464"/>
    <w:rsid w:val="003A7F39"/>
    <w:rsid w:val="003B17C3"/>
    <w:rsid w:val="003D4590"/>
    <w:rsid w:val="003D4B77"/>
    <w:rsid w:val="003E366B"/>
    <w:rsid w:val="003F07F8"/>
    <w:rsid w:val="004023E7"/>
    <w:rsid w:val="00403206"/>
    <w:rsid w:val="004118C3"/>
    <w:rsid w:val="00415330"/>
    <w:rsid w:val="00415F31"/>
    <w:rsid w:val="0041628E"/>
    <w:rsid w:val="004177F7"/>
    <w:rsid w:val="00420DE3"/>
    <w:rsid w:val="004248A2"/>
    <w:rsid w:val="0042771C"/>
    <w:rsid w:val="00434AAF"/>
    <w:rsid w:val="0043701E"/>
    <w:rsid w:val="00442C94"/>
    <w:rsid w:val="00461AD6"/>
    <w:rsid w:val="0046657A"/>
    <w:rsid w:val="004762D3"/>
    <w:rsid w:val="004906C3"/>
    <w:rsid w:val="0049540D"/>
    <w:rsid w:val="00496245"/>
    <w:rsid w:val="004A43F5"/>
    <w:rsid w:val="004B1A2A"/>
    <w:rsid w:val="004C607E"/>
    <w:rsid w:val="004C6218"/>
    <w:rsid w:val="004D2DDF"/>
    <w:rsid w:val="004D36BF"/>
    <w:rsid w:val="004D6366"/>
    <w:rsid w:val="004E0E24"/>
    <w:rsid w:val="004E59FF"/>
    <w:rsid w:val="004E7024"/>
    <w:rsid w:val="004F21C1"/>
    <w:rsid w:val="004F24B3"/>
    <w:rsid w:val="004F6F66"/>
    <w:rsid w:val="004F7DCE"/>
    <w:rsid w:val="00505483"/>
    <w:rsid w:val="0050755F"/>
    <w:rsid w:val="005202B7"/>
    <w:rsid w:val="0052747B"/>
    <w:rsid w:val="00536D94"/>
    <w:rsid w:val="00550649"/>
    <w:rsid w:val="005646E0"/>
    <w:rsid w:val="00571B62"/>
    <w:rsid w:val="00582194"/>
    <w:rsid w:val="005A591A"/>
    <w:rsid w:val="005B09DB"/>
    <w:rsid w:val="005C4F9B"/>
    <w:rsid w:val="005D3A67"/>
    <w:rsid w:val="005D3E76"/>
    <w:rsid w:val="005D4CD0"/>
    <w:rsid w:val="005D5554"/>
    <w:rsid w:val="005E14A0"/>
    <w:rsid w:val="005E2106"/>
    <w:rsid w:val="005E22DE"/>
    <w:rsid w:val="005E663E"/>
    <w:rsid w:val="00602F23"/>
    <w:rsid w:val="00612EAB"/>
    <w:rsid w:val="00617283"/>
    <w:rsid w:val="006227ED"/>
    <w:rsid w:val="00622A4A"/>
    <w:rsid w:val="006275BD"/>
    <w:rsid w:val="00630AD4"/>
    <w:rsid w:val="00637EA0"/>
    <w:rsid w:val="00645D59"/>
    <w:rsid w:val="00646A3F"/>
    <w:rsid w:val="00663670"/>
    <w:rsid w:val="00672086"/>
    <w:rsid w:val="00672AE5"/>
    <w:rsid w:val="00681207"/>
    <w:rsid w:val="006B0529"/>
    <w:rsid w:val="006B527C"/>
    <w:rsid w:val="006E42B6"/>
    <w:rsid w:val="006F1324"/>
    <w:rsid w:val="00706290"/>
    <w:rsid w:val="007236A9"/>
    <w:rsid w:val="00723EF7"/>
    <w:rsid w:val="007372C2"/>
    <w:rsid w:val="00760601"/>
    <w:rsid w:val="007639A0"/>
    <w:rsid w:val="0076512B"/>
    <w:rsid w:val="00767E2A"/>
    <w:rsid w:val="00782CA6"/>
    <w:rsid w:val="0079268A"/>
    <w:rsid w:val="00794577"/>
    <w:rsid w:val="00797888"/>
    <w:rsid w:val="007A2099"/>
    <w:rsid w:val="007A3AA0"/>
    <w:rsid w:val="007B415D"/>
    <w:rsid w:val="007D167D"/>
    <w:rsid w:val="007E1487"/>
    <w:rsid w:val="007F1B28"/>
    <w:rsid w:val="007F7354"/>
    <w:rsid w:val="00807693"/>
    <w:rsid w:val="0081767C"/>
    <w:rsid w:val="00817BB9"/>
    <w:rsid w:val="00850956"/>
    <w:rsid w:val="00853851"/>
    <w:rsid w:val="00855D8E"/>
    <w:rsid w:val="00857D9E"/>
    <w:rsid w:val="008762A7"/>
    <w:rsid w:val="00881566"/>
    <w:rsid w:val="0088376F"/>
    <w:rsid w:val="00884E8D"/>
    <w:rsid w:val="00892D18"/>
    <w:rsid w:val="00893D06"/>
    <w:rsid w:val="008A4431"/>
    <w:rsid w:val="008A51AC"/>
    <w:rsid w:val="008B0632"/>
    <w:rsid w:val="008B08AA"/>
    <w:rsid w:val="008B12C3"/>
    <w:rsid w:val="009001B5"/>
    <w:rsid w:val="00902EE7"/>
    <w:rsid w:val="009123EE"/>
    <w:rsid w:val="009349FD"/>
    <w:rsid w:val="0095138A"/>
    <w:rsid w:val="00956D29"/>
    <w:rsid w:val="00961BD9"/>
    <w:rsid w:val="009739A1"/>
    <w:rsid w:val="009B3908"/>
    <w:rsid w:val="009B6EFE"/>
    <w:rsid w:val="009C197C"/>
    <w:rsid w:val="009D3803"/>
    <w:rsid w:val="009D65C4"/>
    <w:rsid w:val="009E7B14"/>
    <w:rsid w:val="00A0077D"/>
    <w:rsid w:val="00A00810"/>
    <w:rsid w:val="00A023FA"/>
    <w:rsid w:val="00A12429"/>
    <w:rsid w:val="00A14463"/>
    <w:rsid w:val="00A360FD"/>
    <w:rsid w:val="00A4021B"/>
    <w:rsid w:val="00A46630"/>
    <w:rsid w:val="00A515D4"/>
    <w:rsid w:val="00A54418"/>
    <w:rsid w:val="00A715D7"/>
    <w:rsid w:val="00A748CF"/>
    <w:rsid w:val="00A82CA2"/>
    <w:rsid w:val="00A859F4"/>
    <w:rsid w:val="00AA210A"/>
    <w:rsid w:val="00AA6ED2"/>
    <w:rsid w:val="00AB7E9D"/>
    <w:rsid w:val="00AC4CCA"/>
    <w:rsid w:val="00AD4E55"/>
    <w:rsid w:val="00AD6E07"/>
    <w:rsid w:val="00AF3A9F"/>
    <w:rsid w:val="00B15811"/>
    <w:rsid w:val="00B210E1"/>
    <w:rsid w:val="00B246F3"/>
    <w:rsid w:val="00B30712"/>
    <w:rsid w:val="00B367CB"/>
    <w:rsid w:val="00B4366E"/>
    <w:rsid w:val="00B474AA"/>
    <w:rsid w:val="00B55FA8"/>
    <w:rsid w:val="00B60BA2"/>
    <w:rsid w:val="00B71EA5"/>
    <w:rsid w:val="00B73E2C"/>
    <w:rsid w:val="00BA40D1"/>
    <w:rsid w:val="00BA4687"/>
    <w:rsid w:val="00BB349B"/>
    <w:rsid w:val="00BB5566"/>
    <w:rsid w:val="00BC11AA"/>
    <w:rsid w:val="00BC597F"/>
    <w:rsid w:val="00C135BC"/>
    <w:rsid w:val="00C35BF8"/>
    <w:rsid w:val="00C366A3"/>
    <w:rsid w:val="00C46514"/>
    <w:rsid w:val="00C47B90"/>
    <w:rsid w:val="00C5550B"/>
    <w:rsid w:val="00C6100B"/>
    <w:rsid w:val="00C65E2F"/>
    <w:rsid w:val="00C82C58"/>
    <w:rsid w:val="00C85907"/>
    <w:rsid w:val="00D17AF2"/>
    <w:rsid w:val="00D21ED8"/>
    <w:rsid w:val="00D265CD"/>
    <w:rsid w:val="00D34BA7"/>
    <w:rsid w:val="00D34C2F"/>
    <w:rsid w:val="00D36F62"/>
    <w:rsid w:val="00D40ED6"/>
    <w:rsid w:val="00D5378F"/>
    <w:rsid w:val="00D754A5"/>
    <w:rsid w:val="00D93E55"/>
    <w:rsid w:val="00DA68DB"/>
    <w:rsid w:val="00DC4309"/>
    <w:rsid w:val="00DD0F5A"/>
    <w:rsid w:val="00DD45A4"/>
    <w:rsid w:val="00DF1355"/>
    <w:rsid w:val="00E13240"/>
    <w:rsid w:val="00E137EE"/>
    <w:rsid w:val="00E163A1"/>
    <w:rsid w:val="00E24251"/>
    <w:rsid w:val="00E24F63"/>
    <w:rsid w:val="00E274F4"/>
    <w:rsid w:val="00E27CD8"/>
    <w:rsid w:val="00E42435"/>
    <w:rsid w:val="00E675D9"/>
    <w:rsid w:val="00E742FE"/>
    <w:rsid w:val="00E84172"/>
    <w:rsid w:val="00E91462"/>
    <w:rsid w:val="00EA2975"/>
    <w:rsid w:val="00EA7947"/>
    <w:rsid w:val="00EB27CB"/>
    <w:rsid w:val="00EB7E3E"/>
    <w:rsid w:val="00EC04F6"/>
    <w:rsid w:val="00EC0DDE"/>
    <w:rsid w:val="00ED3EB8"/>
    <w:rsid w:val="00ED4438"/>
    <w:rsid w:val="00EE0EDE"/>
    <w:rsid w:val="00EE41F0"/>
    <w:rsid w:val="00F0278B"/>
    <w:rsid w:val="00F063B9"/>
    <w:rsid w:val="00F11D67"/>
    <w:rsid w:val="00F15F6D"/>
    <w:rsid w:val="00F17918"/>
    <w:rsid w:val="00F578C4"/>
    <w:rsid w:val="00F632E5"/>
    <w:rsid w:val="00F740FA"/>
    <w:rsid w:val="00F8388F"/>
    <w:rsid w:val="00F86BF4"/>
    <w:rsid w:val="00F906CD"/>
    <w:rsid w:val="00F91EA6"/>
    <w:rsid w:val="00F92F81"/>
    <w:rsid w:val="00F930B3"/>
    <w:rsid w:val="00FA0A2A"/>
    <w:rsid w:val="00FA46F6"/>
    <w:rsid w:val="00FB7FDB"/>
    <w:rsid w:val="00FC2077"/>
    <w:rsid w:val="00FC53E4"/>
    <w:rsid w:val="00FE4FED"/>
    <w:rsid w:val="00FE6CCD"/>
    <w:rsid w:val="00FF5E7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33D9B"/>
  <w15:docId w15:val="{43563505-7033-48F2-9C75-53AB21D8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DB7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paragraph" w:styleId="Normlnweb">
    <w:name w:val="Normal (Web)"/>
    <w:basedOn w:val="Normln"/>
    <w:uiPriority w:val="99"/>
    <w:rsid w:val="00096DB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96DB7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096DB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2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3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3D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3D1"/>
    <w:rPr>
      <w:rFonts w:ascii="Arial" w:hAnsi="Arial"/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514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sberbankcz.cz/pujcka/kalkulacka-fer-pujck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C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berban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hop.sberbankcz.cz/pujcka/kalkulacka-fer-pujck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PAL~1\AppData\Local\Temp\notes27A4BA\PR_sablona_2014092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9137-EABD-4768-AF2B-EB92304C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PR_sablona_20140925.dotx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petr.jarkovsky@aspen.pr</cp:lastModifiedBy>
  <cp:revision>3</cp:revision>
  <cp:lastPrinted>2015-07-28T08:18:00Z</cp:lastPrinted>
  <dcterms:created xsi:type="dcterms:W3CDTF">2015-08-11T15:27:00Z</dcterms:created>
  <dcterms:modified xsi:type="dcterms:W3CDTF">2015-08-18T10:40:00Z</dcterms:modified>
</cp:coreProperties>
</file>