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9D3" w:rsidRDefault="007659D3" w:rsidP="001D3E16">
      <w:pPr>
        <w:autoSpaceDE w:val="0"/>
        <w:autoSpaceDN w:val="0"/>
        <w:adjustRightInd w:val="0"/>
        <w:spacing w:after="0"/>
        <w:jc w:val="both"/>
        <w:rPr>
          <w:rFonts w:cs="Arial"/>
          <w:b/>
          <w:sz w:val="24"/>
          <w:szCs w:val="24"/>
        </w:rPr>
      </w:pPr>
    </w:p>
    <w:p w:rsidR="007659D3" w:rsidRPr="007659D3" w:rsidRDefault="007659D3" w:rsidP="004A0624">
      <w:pPr>
        <w:spacing w:line="360" w:lineRule="exact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Nová F</w:t>
      </w:r>
      <w:r w:rsidR="00F8524A">
        <w:rPr>
          <w:rFonts w:cs="Arial"/>
          <w:b/>
          <w:sz w:val="24"/>
          <w:szCs w:val="24"/>
        </w:rPr>
        <w:t>ÉR</w:t>
      </w:r>
      <w:r>
        <w:rPr>
          <w:rFonts w:cs="Arial"/>
          <w:b/>
          <w:sz w:val="24"/>
          <w:szCs w:val="24"/>
        </w:rPr>
        <w:t xml:space="preserve"> hypotéka od </w:t>
      </w:r>
      <w:proofErr w:type="spellStart"/>
      <w:r w:rsidRPr="007659D3">
        <w:rPr>
          <w:rFonts w:cs="Arial"/>
          <w:b/>
          <w:sz w:val="24"/>
          <w:szCs w:val="24"/>
        </w:rPr>
        <w:t>Sberbank</w:t>
      </w:r>
      <w:proofErr w:type="spellEnd"/>
      <w:r w:rsidRPr="007659D3">
        <w:rPr>
          <w:rFonts w:cs="Arial"/>
          <w:b/>
          <w:sz w:val="24"/>
          <w:szCs w:val="24"/>
        </w:rPr>
        <w:t xml:space="preserve"> </w:t>
      </w:r>
      <w:r w:rsidR="00C65C91">
        <w:rPr>
          <w:rFonts w:cs="Arial"/>
          <w:b/>
          <w:sz w:val="24"/>
          <w:szCs w:val="24"/>
        </w:rPr>
        <w:t>nabízí sazbu od 1,79 %</w:t>
      </w:r>
      <w:r w:rsidRPr="007659D3">
        <w:rPr>
          <w:rFonts w:cs="Arial"/>
          <w:b/>
          <w:sz w:val="24"/>
          <w:szCs w:val="24"/>
        </w:rPr>
        <w:t xml:space="preserve"> </w:t>
      </w:r>
      <w:r w:rsidR="00A62620">
        <w:rPr>
          <w:rFonts w:cs="Arial"/>
          <w:b/>
          <w:sz w:val="24"/>
          <w:szCs w:val="24"/>
        </w:rPr>
        <w:t xml:space="preserve">ročně </w:t>
      </w:r>
      <w:r w:rsidRPr="007659D3">
        <w:rPr>
          <w:rFonts w:cs="Arial"/>
          <w:b/>
          <w:sz w:val="24"/>
          <w:szCs w:val="24"/>
        </w:rPr>
        <w:t>a</w:t>
      </w:r>
      <w:r w:rsidR="00F8524A">
        <w:rPr>
          <w:rFonts w:cs="Arial"/>
          <w:b/>
          <w:sz w:val="24"/>
          <w:szCs w:val="24"/>
        </w:rPr>
        <w:t xml:space="preserve"> výrazně klientům odlehčuje od </w:t>
      </w:r>
      <w:r w:rsidR="00516784">
        <w:rPr>
          <w:rFonts w:cs="Arial"/>
          <w:b/>
          <w:sz w:val="24"/>
          <w:szCs w:val="24"/>
        </w:rPr>
        <w:t xml:space="preserve">papírování a </w:t>
      </w:r>
      <w:r w:rsidR="00516784" w:rsidRPr="007659D3">
        <w:rPr>
          <w:rFonts w:cs="Arial"/>
          <w:b/>
          <w:sz w:val="24"/>
          <w:szCs w:val="24"/>
        </w:rPr>
        <w:t>byrokracie</w:t>
      </w:r>
    </w:p>
    <w:p w:rsidR="007659D3" w:rsidRDefault="007659D3" w:rsidP="001D3E16">
      <w:pPr>
        <w:autoSpaceDE w:val="0"/>
        <w:autoSpaceDN w:val="0"/>
        <w:adjustRightInd w:val="0"/>
        <w:spacing w:after="0"/>
        <w:jc w:val="both"/>
        <w:rPr>
          <w:rFonts w:cs="Arial"/>
          <w:b/>
          <w:sz w:val="24"/>
          <w:szCs w:val="24"/>
        </w:rPr>
      </w:pPr>
    </w:p>
    <w:p w:rsidR="00334716" w:rsidRDefault="007659D3" w:rsidP="00334716">
      <w:pPr>
        <w:autoSpaceDE w:val="0"/>
        <w:autoSpaceDN w:val="0"/>
        <w:adjustRightInd w:val="0"/>
        <w:spacing w:after="0"/>
        <w:jc w:val="both"/>
        <w:rPr>
          <w:b/>
        </w:rPr>
      </w:pPr>
      <w:r w:rsidRPr="003041CC">
        <w:rPr>
          <w:rFonts w:cs="Arial"/>
          <w:b/>
          <w:szCs w:val="20"/>
        </w:rPr>
        <w:t xml:space="preserve">Praha, </w:t>
      </w:r>
      <w:r w:rsidR="003F3E2E">
        <w:rPr>
          <w:rFonts w:cs="Arial"/>
          <w:b/>
          <w:szCs w:val="20"/>
        </w:rPr>
        <w:t>1</w:t>
      </w:r>
      <w:r w:rsidR="00C11527">
        <w:rPr>
          <w:rFonts w:cs="Arial"/>
          <w:b/>
          <w:szCs w:val="20"/>
        </w:rPr>
        <w:t>8</w:t>
      </w:r>
      <w:r w:rsidR="00B0775A">
        <w:rPr>
          <w:rFonts w:cs="Arial"/>
          <w:b/>
          <w:szCs w:val="20"/>
        </w:rPr>
        <w:t>.</w:t>
      </w:r>
      <w:r>
        <w:rPr>
          <w:rFonts w:cs="Arial"/>
          <w:b/>
          <w:szCs w:val="20"/>
        </w:rPr>
        <w:t xml:space="preserve"> </w:t>
      </w:r>
      <w:r w:rsidR="00C11527">
        <w:rPr>
          <w:rFonts w:cs="Arial"/>
          <w:b/>
          <w:szCs w:val="20"/>
        </w:rPr>
        <w:t>listopad</w:t>
      </w:r>
      <w:r w:rsidR="00C11527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2015</w:t>
      </w:r>
      <w:r w:rsidR="00BD00AD">
        <w:rPr>
          <w:rFonts w:cs="Arial"/>
          <w:b/>
          <w:szCs w:val="20"/>
        </w:rPr>
        <w:t xml:space="preserve">  -  </w:t>
      </w:r>
      <w:r w:rsidR="003D166F" w:rsidRPr="003D166F">
        <w:rPr>
          <w:b/>
        </w:rPr>
        <w:t xml:space="preserve">Nová FÉR hypotéka od Sberbank představuje malou hypoteční revoluci.  </w:t>
      </w:r>
      <w:r w:rsidR="00BD00AD">
        <w:rPr>
          <w:b/>
        </w:rPr>
        <w:t>Kromě snížení sazeb</w:t>
      </w:r>
      <w:r w:rsidR="003F3E2E">
        <w:rPr>
          <w:b/>
        </w:rPr>
        <w:t xml:space="preserve">, které začínají </w:t>
      </w:r>
      <w:r w:rsidR="004A0624">
        <w:rPr>
          <w:b/>
        </w:rPr>
        <w:t xml:space="preserve">na </w:t>
      </w:r>
      <w:r w:rsidR="003F3E2E">
        <w:rPr>
          <w:b/>
        </w:rPr>
        <w:t>1</w:t>
      </w:r>
      <w:r w:rsidR="00BD00AD">
        <w:rPr>
          <w:b/>
        </w:rPr>
        <w:t>,</w:t>
      </w:r>
      <w:r w:rsidR="003F3E2E">
        <w:rPr>
          <w:b/>
        </w:rPr>
        <w:t>79 % ročně</w:t>
      </w:r>
      <w:r w:rsidR="00C65C91">
        <w:rPr>
          <w:b/>
        </w:rPr>
        <w:t>,</w:t>
      </w:r>
      <w:r w:rsidR="00BD00AD">
        <w:rPr>
          <w:b/>
        </w:rPr>
        <w:t xml:space="preserve"> banka představuje</w:t>
      </w:r>
      <w:r w:rsidR="00C65C91">
        <w:rPr>
          <w:b/>
        </w:rPr>
        <w:t xml:space="preserve"> i jiné</w:t>
      </w:r>
      <w:r w:rsidR="00BD00AD">
        <w:rPr>
          <w:b/>
        </w:rPr>
        <w:t xml:space="preserve"> na trhu ojedinělé novinky.</w:t>
      </w:r>
      <w:r w:rsidR="003D166F" w:rsidRPr="003D166F">
        <w:rPr>
          <w:b/>
        </w:rPr>
        <w:t xml:space="preserve"> </w:t>
      </w:r>
      <w:r w:rsidR="00E872CB">
        <w:rPr>
          <w:b/>
        </w:rPr>
        <w:t xml:space="preserve">Stejně jako u ostatních </w:t>
      </w:r>
      <w:r w:rsidR="003D166F" w:rsidRPr="003D166F">
        <w:rPr>
          <w:b/>
        </w:rPr>
        <w:t xml:space="preserve">FÉR </w:t>
      </w:r>
      <w:r w:rsidR="00E872CB">
        <w:rPr>
          <w:b/>
        </w:rPr>
        <w:t>produktů</w:t>
      </w:r>
      <w:r w:rsidR="00B36D08">
        <w:rPr>
          <w:b/>
        </w:rPr>
        <w:t xml:space="preserve"> také</w:t>
      </w:r>
      <w:r w:rsidR="00E872CB">
        <w:rPr>
          <w:b/>
        </w:rPr>
        <w:t xml:space="preserve"> u FÉR hypotéky </w:t>
      </w:r>
      <w:r w:rsidR="00B36D08">
        <w:rPr>
          <w:b/>
        </w:rPr>
        <w:t xml:space="preserve">klienti </w:t>
      </w:r>
      <w:r w:rsidR="00E872CB">
        <w:rPr>
          <w:b/>
        </w:rPr>
        <w:t>neplatí žádné poplatky.</w:t>
      </w:r>
      <w:r w:rsidR="00CC4F52">
        <w:rPr>
          <w:b/>
        </w:rPr>
        <w:t xml:space="preserve"> </w:t>
      </w:r>
      <w:r w:rsidR="003D166F" w:rsidRPr="003D166F">
        <w:rPr>
          <w:b/>
        </w:rPr>
        <w:t xml:space="preserve"> </w:t>
      </w:r>
      <w:r w:rsidR="00F8524A">
        <w:rPr>
          <w:b/>
        </w:rPr>
        <w:t>FÉR hypotéka minimalizuje požadavky na dokumenty od klientů tak, že je banka nevyžaduje vůbec nebo je připraví sama za klienty, a to zcela zdarma.</w:t>
      </w:r>
    </w:p>
    <w:p w:rsidR="003D166F" w:rsidRPr="00516784" w:rsidRDefault="003D166F" w:rsidP="00516784">
      <w:pPr>
        <w:autoSpaceDE w:val="0"/>
        <w:autoSpaceDN w:val="0"/>
        <w:adjustRightInd w:val="0"/>
        <w:spacing w:after="0"/>
        <w:jc w:val="both"/>
        <w:rPr>
          <w:rFonts w:cs="Arial"/>
          <w:b/>
          <w:szCs w:val="20"/>
        </w:rPr>
      </w:pPr>
    </w:p>
    <w:p w:rsidR="003F3E2E" w:rsidRDefault="00452E56" w:rsidP="001D3E16">
      <w:pPr>
        <w:jc w:val="both"/>
        <w:rPr>
          <w:rFonts w:cs="Arial"/>
          <w:color w:val="000000"/>
          <w:szCs w:val="20"/>
        </w:rPr>
      </w:pPr>
      <w:r>
        <w:rPr>
          <w:rFonts w:cs="Arial"/>
          <w:szCs w:val="20"/>
        </w:rPr>
        <w:t xml:space="preserve">Sberbank představuje novou FÉR hypotéku se sazbou již od 1,79 % ročně a řadou </w:t>
      </w:r>
      <w:r w:rsidR="00FB291D">
        <w:rPr>
          <w:rFonts w:cs="Arial"/>
          <w:szCs w:val="20"/>
        </w:rPr>
        <w:t xml:space="preserve">ojedinělých </w:t>
      </w:r>
      <w:r>
        <w:rPr>
          <w:rFonts w:cs="Arial"/>
          <w:szCs w:val="20"/>
        </w:rPr>
        <w:t xml:space="preserve">vylepšení. </w:t>
      </w:r>
      <w:r w:rsidR="003F3E2E" w:rsidRPr="005422E2">
        <w:rPr>
          <w:rFonts w:cs="Arial"/>
          <w:szCs w:val="20"/>
        </w:rPr>
        <w:t>Nová sazba představuje jednu z aktuálně nejlepších nabídek na trhu</w:t>
      </w:r>
      <w:r w:rsidR="003F3E2E">
        <w:rPr>
          <w:rFonts w:cs="Arial"/>
          <w:szCs w:val="20"/>
        </w:rPr>
        <w:t>. Ke stávající tříleté</w:t>
      </w:r>
      <w:r w:rsidR="00334716">
        <w:rPr>
          <w:rFonts w:cs="Arial"/>
          <w:szCs w:val="20"/>
        </w:rPr>
        <w:t xml:space="preserve">, pětileté a desetileté fixaci </w:t>
      </w:r>
      <w:r w:rsidR="003F3E2E">
        <w:rPr>
          <w:rFonts w:cs="Arial"/>
          <w:color w:val="000000"/>
          <w:szCs w:val="20"/>
        </w:rPr>
        <w:t>Sberbank nově přidává možnost sedmileté fixace, která je u klientů stále oblíbenější.</w:t>
      </w:r>
    </w:p>
    <w:p w:rsidR="00452E56" w:rsidRPr="00452E56" w:rsidRDefault="00452E56" w:rsidP="001D3E16">
      <w:pPr>
        <w:autoSpaceDE w:val="0"/>
        <w:autoSpaceDN w:val="0"/>
        <w:adjustRightInd w:val="0"/>
        <w:spacing w:after="0"/>
        <w:jc w:val="both"/>
        <w:rPr>
          <w:rFonts w:cs="Arial"/>
          <w:szCs w:val="20"/>
        </w:rPr>
      </w:pPr>
      <w:r>
        <w:rPr>
          <w:rFonts w:cs="Arial"/>
          <w:i/>
          <w:szCs w:val="20"/>
        </w:rPr>
        <w:t>„</w:t>
      </w:r>
      <w:r w:rsidRPr="00452E56">
        <w:rPr>
          <w:rFonts w:cs="Arial"/>
          <w:i/>
          <w:szCs w:val="20"/>
        </w:rPr>
        <w:t xml:space="preserve">FÉR hypotéka doplňuje nyní již kompletní řadu FÉR produktů, které se vyznačují </w:t>
      </w:r>
      <w:r>
        <w:rPr>
          <w:rFonts w:cs="Arial"/>
          <w:i/>
          <w:szCs w:val="20"/>
        </w:rPr>
        <w:t xml:space="preserve">výhodnou nabídkou, </w:t>
      </w:r>
      <w:r w:rsidRPr="00452E56">
        <w:rPr>
          <w:rFonts w:cs="Arial"/>
          <w:i/>
          <w:szCs w:val="20"/>
        </w:rPr>
        <w:t xml:space="preserve">transparentností a vstřícností ke klientům. </w:t>
      </w:r>
      <w:r w:rsidR="00CC4F52">
        <w:rPr>
          <w:rFonts w:cs="Arial"/>
          <w:i/>
          <w:szCs w:val="20"/>
        </w:rPr>
        <w:t>Např</w:t>
      </w:r>
      <w:r w:rsidR="004A0624">
        <w:rPr>
          <w:rFonts w:cs="Arial"/>
          <w:i/>
          <w:szCs w:val="20"/>
        </w:rPr>
        <w:t>íklad</w:t>
      </w:r>
      <w:r w:rsidR="00CC4F52">
        <w:rPr>
          <w:rFonts w:cs="Arial"/>
          <w:i/>
          <w:szCs w:val="20"/>
        </w:rPr>
        <w:t xml:space="preserve"> </w:t>
      </w:r>
      <w:r w:rsidR="00CC4F52">
        <w:rPr>
          <w:i/>
        </w:rPr>
        <w:t>t</w:t>
      </w:r>
      <w:r w:rsidR="00CC4F52" w:rsidRPr="00CC4F52">
        <w:rPr>
          <w:i/>
        </w:rPr>
        <w:t>o, že klienti kromě nízkých úrokových sazeb neplatí za úvěry ve Sberbank žádné poplatky, je již standard</w:t>
      </w:r>
      <w:r w:rsidR="00CC4F52" w:rsidRPr="00CC4F52">
        <w:t>.</w:t>
      </w:r>
      <w:r w:rsidR="00CC4F52">
        <w:t xml:space="preserve"> </w:t>
      </w:r>
      <w:r w:rsidRPr="00452E56">
        <w:rPr>
          <w:rFonts w:cs="Arial"/>
          <w:i/>
          <w:szCs w:val="20"/>
        </w:rPr>
        <w:t>U FÉR hypotéky se podařilo skloubit kombinaci výhodných úroků, jednoduchosti, rychlosti a minimálních nároků na dokumenty od klie</w:t>
      </w:r>
      <w:r>
        <w:rPr>
          <w:rFonts w:cs="Arial"/>
          <w:i/>
          <w:szCs w:val="20"/>
        </w:rPr>
        <w:t xml:space="preserve">ntů, což je na trhu ojedinělé,“ </w:t>
      </w:r>
      <w:r w:rsidRPr="00452E56">
        <w:rPr>
          <w:rFonts w:cs="Arial"/>
          <w:szCs w:val="20"/>
        </w:rPr>
        <w:t xml:space="preserve">shrnuje Roman Knaus, vedoucí oddělení retailových produktů. </w:t>
      </w:r>
    </w:p>
    <w:p w:rsidR="00452E56" w:rsidRPr="00452E56" w:rsidRDefault="00452E56" w:rsidP="001D3E16">
      <w:pPr>
        <w:autoSpaceDE w:val="0"/>
        <w:autoSpaceDN w:val="0"/>
        <w:adjustRightInd w:val="0"/>
        <w:spacing w:after="0"/>
        <w:jc w:val="both"/>
        <w:rPr>
          <w:rFonts w:cs="Arial"/>
          <w:i/>
          <w:szCs w:val="20"/>
        </w:rPr>
      </w:pPr>
    </w:p>
    <w:p w:rsidR="006612A0" w:rsidRDefault="00C65C91" w:rsidP="001D3E16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Kromě sazby 1,79 % ročně Sberbank klientům odlehčí i u administrativní části hypotéky.</w:t>
      </w:r>
      <w:r w:rsidR="006612A0" w:rsidRPr="005422E2">
        <w:rPr>
          <w:rFonts w:cs="Arial"/>
          <w:szCs w:val="20"/>
        </w:rPr>
        <w:t xml:space="preserve"> Pokud klient jeden rok svou hypotéku</w:t>
      </w:r>
      <w:r w:rsidR="005C62F9">
        <w:rPr>
          <w:rFonts w:cs="Arial"/>
          <w:szCs w:val="20"/>
        </w:rPr>
        <w:t xml:space="preserve"> řádně</w:t>
      </w:r>
      <w:r w:rsidR="006612A0" w:rsidRPr="005422E2">
        <w:rPr>
          <w:rFonts w:cs="Arial"/>
          <w:szCs w:val="20"/>
        </w:rPr>
        <w:t xml:space="preserve"> splácí, nemusí dokládat příjmy. Banka také nevyžaduje nový odhad nemovitosti, vystačí si s původním, pokud není starší než sedm let. </w:t>
      </w:r>
      <w:r w:rsidR="00321CCD">
        <w:rPr>
          <w:rFonts w:cs="Arial"/>
          <w:szCs w:val="20"/>
        </w:rPr>
        <w:t>Stačí</w:t>
      </w:r>
      <w:r w:rsidR="006612A0" w:rsidRPr="005422E2">
        <w:rPr>
          <w:rFonts w:cs="Arial"/>
          <w:szCs w:val="20"/>
        </w:rPr>
        <w:t xml:space="preserve"> stávající úvěrová smlouva, původní odhad, vyplněná žádost a vše je neskutečně jednoduše a rychle vyřízeno. </w:t>
      </w:r>
      <w:r w:rsidR="00452E56">
        <w:rPr>
          <w:rFonts w:cs="Arial"/>
          <w:szCs w:val="20"/>
        </w:rPr>
        <w:t>Každý, kdo si chce</w:t>
      </w:r>
      <w:r w:rsidR="0068187F">
        <w:rPr>
          <w:rFonts w:cs="Arial"/>
          <w:szCs w:val="20"/>
        </w:rPr>
        <w:t xml:space="preserve"> zajistit jednu z nejvýhodnějších sazeb již nyní, </w:t>
      </w:r>
      <w:r w:rsidR="00452E56">
        <w:rPr>
          <w:rFonts w:cs="Arial"/>
          <w:szCs w:val="20"/>
        </w:rPr>
        <w:t>má možnost</w:t>
      </w:r>
      <w:r w:rsidR="0068187F">
        <w:rPr>
          <w:rFonts w:cs="Arial"/>
          <w:szCs w:val="20"/>
        </w:rPr>
        <w:t xml:space="preserve"> rezervovat </w:t>
      </w:r>
      <w:r w:rsidR="00452E56">
        <w:rPr>
          <w:rFonts w:cs="Arial"/>
          <w:szCs w:val="20"/>
        </w:rPr>
        <w:t xml:space="preserve">si sazbu </w:t>
      </w:r>
      <w:r w:rsidR="0068187F">
        <w:rPr>
          <w:rFonts w:cs="Arial"/>
          <w:szCs w:val="20"/>
        </w:rPr>
        <w:t xml:space="preserve">již rok před ukončením fixace. </w:t>
      </w:r>
    </w:p>
    <w:p w:rsidR="0068187F" w:rsidRPr="005422E2" w:rsidRDefault="0068187F" w:rsidP="001D3E16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Zájemci o novou hypotéku budou překvapeni nejen </w:t>
      </w:r>
      <w:r w:rsidR="00452E56">
        <w:rPr>
          <w:rFonts w:cs="Arial"/>
          <w:szCs w:val="20"/>
        </w:rPr>
        <w:t xml:space="preserve">nízkou </w:t>
      </w:r>
      <w:r>
        <w:rPr>
          <w:rFonts w:cs="Arial"/>
          <w:szCs w:val="20"/>
        </w:rPr>
        <w:t xml:space="preserve">sazbou, ale také </w:t>
      </w:r>
      <w:r w:rsidR="00321CCD">
        <w:rPr>
          <w:rFonts w:cs="Arial"/>
          <w:szCs w:val="20"/>
        </w:rPr>
        <w:t>úsporou času</w:t>
      </w:r>
      <w:r w:rsidR="00EB2A1B">
        <w:rPr>
          <w:rFonts w:cs="Arial"/>
          <w:szCs w:val="20"/>
        </w:rPr>
        <w:t xml:space="preserve"> při zajišťování dokumentů. Sberbank</w:t>
      </w:r>
      <w:r w:rsidRPr="005422E2">
        <w:rPr>
          <w:rFonts w:cs="Arial"/>
          <w:szCs w:val="20"/>
        </w:rPr>
        <w:t xml:space="preserve"> jako jediná banka na trhu</w:t>
      </w:r>
      <w:r w:rsidR="00EB2A1B">
        <w:t xml:space="preserve"> vinkulaci pojistného plnění zařídí sama a to formou oznámení pojišťovně.</w:t>
      </w:r>
      <w:r w:rsidRPr="005422E2">
        <w:rPr>
          <w:rFonts w:cs="Arial"/>
          <w:szCs w:val="20"/>
        </w:rPr>
        <w:t xml:space="preserve"> Běžně si v jiných bankách vinkulaci zajišťuje sám klient.  </w:t>
      </w:r>
      <w:r w:rsidR="00EB2A1B">
        <w:rPr>
          <w:rFonts w:cs="Arial"/>
          <w:szCs w:val="20"/>
        </w:rPr>
        <w:t>Ve Sberbank s</w:t>
      </w:r>
      <w:r w:rsidRPr="005422E2">
        <w:rPr>
          <w:rFonts w:cs="Arial"/>
          <w:szCs w:val="20"/>
        </w:rPr>
        <w:t xml:space="preserve">tačí, když klient bance předloží pojistnou smlouvu.  I samotné pojištění </w:t>
      </w:r>
      <w:r w:rsidR="00BD00AD">
        <w:rPr>
          <w:rFonts w:cs="Arial"/>
          <w:szCs w:val="20"/>
        </w:rPr>
        <w:t>je možno</w:t>
      </w:r>
      <w:r w:rsidRPr="005422E2">
        <w:rPr>
          <w:rFonts w:cs="Arial"/>
          <w:szCs w:val="20"/>
        </w:rPr>
        <w:t xml:space="preserve"> sjednat přímo ve Sberbank.</w:t>
      </w:r>
      <w:r w:rsidR="003F3E2E">
        <w:rPr>
          <w:rFonts w:cs="Arial"/>
          <w:szCs w:val="20"/>
        </w:rPr>
        <w:t xml:space="preserve"> </w:t>
      </w:r>
    </w:p>
    <w:p w:rsidR="001430B5" w:rsidRDefault="00EB2A1B" w:rsidP="001D3E16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Velkou</w:t>
      </w:r>
      <w:r w:rsidR="0068187F" w:rsidRPr="005422E2">
        <w:rPr>
          <w:rFonts w:cs="Arial"/>
          <w:szCs w:val="20"/>
        </w:rPr>
        <w:t xml:space="preserve"> novinku Sberbank připravila také pro ty, kteří plánují výstavbu.  </w:t>
      </w:r>
      <w:r w:rsidR="0068187F">
        <w:rPr>
          <w:rFonts w:cs="Arial"/>
          <w:szCs w:val="20"/>
        </w:rPr>
        <w:t xml:space="preserve">Obecně </w:t>
      </w:r>
      <w:r w:rsidR="0068187F" w:rsidRPr="005422E2">
        <w:rPr>
          <w:rFonts w:cs="Arial"/>
          <w:szCs w:val="20"/>
        </w:rPr>
        <w:t xml:space="preserve">jsou klienti, kterým banka financuje výstavbu, </w:t>
      </w:r>
      <w:r w:rsidR="0068187F">
        <w:rPr>
          <w:rFonts w:cs="Arial"/>
          <w:szCs w:val="20"/>
        </w:rPr>
        <w:t>doslova zahlceni</w:t>
      </w:r>
      <w:r w:rsidR="0068187F" w:rsidRPr="005422E2">
        <w:rPr>
          <w:rFonts w:cs="Arial"/>
          <w:szCs w:val="20"/>
        </w:rPr>
        <w:t xml:space="preserve"> doklady, které musí své bance neustále předkládat, aby mohli postupně čerpat finanční prostředky.  Kromě ztráty času to pro klienta může znamenat prodlení v samotné výstavbě.  Sberbank dává klientům při stavbě </w:t>
      </w:r>
      <w:r w:rsidR="001430B5">
        <w:rPr>
          <w:rFonts w:cs="Arial"/>
          <w:szCs w:val="20"/>
        </w:rPr>
        <w:t>volnost</w:t>
      </w:r>
      <w:r w:rsidR="0068187F" w:rsidRPr="005422E2">
        <w:rPr>
          <w:rFonts w:cs="Arial"/>
          <w:szCs w:val="20"/>
        </w:rPr>
        <w:t xml:space="preserve">.  Po vyčerpání první částky úvěru, klient dále čerpá přesně podle svých potřeb. Bance stačí informace o aktuální rozestavěnosti a na základě toho uvolní další peníze. </w:t>
      </w:r>
      <w:r w:rsidR="00C65C91">
        <w:rPr>
          <w:rFonts w:cs="Arial"/>
          <w:szCs w:val="20"/>
        </w:rPr>
        <w:t xml:space="preserve">Banka také financuje stavební pozemky až do 90% </w:t>
      </w:r>
      <w:r w:rsidR="005C62F9">
        <w:rPr>
          <w:rFonts w:cs="Arial"/>
          <w:szCs w:val="20"/>
        </w:rPr>
        <w:t>hodnoty nemovitosti</w:t>
      </w:r>
      <w:r w:rsidR="00C65C91">
        <w:rPr>
          <w:rFonts w:cs="Arial"/>
          <w:szCs w:val="20"/>
        </w:rPr>
        <w:t>, a to bez nutnosti další výstavby</w:t>
      </w:r>
      <w:r w:rsidR="0078128B">
        <w:rPr>
          <w:rFonts w:cs="Arial"/>
          <w:szCs w:val="20"/>
        </w:rPr>
        <w:t>.</w:t>
      </w:r>
    </w:p>
    <w:p w:rsidR="0068187F" w:rsidRDefault="00CC4F52" w:rsidP="001D3E16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Zvýhodněnou nabídku</w:t>
      </w:r>
      <w:r w:rsidR="0068187F" w:rsidRPr="005422E2">
        <w:rPr>
          <w:rFonts w:cs="Arial"/>
          <w:szCs w:val="20"/>
        </w:rPr>
        <w:t xml:space="preserve"> přináší Sber</w:t>
      </w:r>
      <w:r w:rsidR="003D166F">
        <w:rPr>
          <w:rFonts w:cs="Arial"/>
          <w:szCs w:val="20"/>
        </w:rPr>
        <w:t>bank i živnostníkům. K tomu, ab</w:t>
      </w:r>
      <w:r w:rsidR="00BD00AD">
        <w:rPr>
          <w:rFonts w:cs="Arial"/>
          <w:szCs w:val="20"/>
        </w:rPr>
        <w:t>y</w:t>
      </w:r>
      <w:r w:rsidR="0068187F" w:rsidRPr="005422E2">
        <w:rPr>
          <w:rFonts w:cs="Arial"/>
          <w:szCs w:val="20"/>
        </w:rPr>
        <w:t xml:space="preserve"> prokázali své příjmy, stačí nově pouze jedno daňové přiznání. Banka klientovi ušetří i cestu na finanční úřad, protože nevyžaduje opis daňového přiznání jako mnohé jiné banky.  Naprosto dostačující je kopie, společně s dokladem o zaplacení daně (např. jako výpis </w:t>
      </w:r>
      <w:r w:rsidR="0068187F" w:rsidRPr="005422E2">
        <w:rPr>
          <w:rFonts w:cs="Arial"/>
          <w:szCs w:val="20"/>
        </w:rPr>
        <w:lastRenderedPageBreak/>
        <w:t xml:space="preserve">z elektronického bankovnictví.)  Sberbank jde </w:t>
      </w:r>
      <w:r w:rsidR="00892E26">
        <w:rPr>
          <w:rFonts w:cs="Arial"/>
          <w:szCs w:val="20"/>
        </w:rPr>
        <w:t>s</w:t>
      </w:r>
      <w:r w:rsidR="0068187F" w:rsidRPr="005422E2">
        <w:rPr>
          <w:rFonts w:cs="Arial"/>
          <w:szCs w:val="20"/>
        </w:rPr>
        <w:t>živnostníkům vstř</w:t>
      </w:r>
      <w:r w:rsidR="0078128B">
        <w:rPr>
          <w:rFonts w:cs="Arial"/>
          <w:szCs w:val="20"/>
        </w:rPr>
        <w:t xml:space="preserve">íc také při posuzování bonity, nově nabízí uznání příjmu </w:t>
      </w:r>
      <w:r w:rsidR="005C62F9">
        <w:rPr>
          <w:rFonts w:cs="Arial"/>
          <w:szCs w:val="20"/>
        </w:rPr>
        <w:t>na základě jejich obratu</w:t>
      </w:r>
      <w:r w:rsidR="0078128B">
        <w:rPr>
          <w:rFonts w:cs="Arial"/>
          <w:szCs w:val="20"/>
        </w:rPr>
        <w:t>.</w:t>
      </w:r>
      <w:bookmarkStart w:id="0" w:name="_GoBack"/>
      <w:bookmarkEnd w:id="0"/>
    </w:p>
    <w:p w:rsidR="00FB291D" w:rsidRDefault="00CC4F52" w:rsidP="00FB291D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Navíc všichni klienti,</w:t>
      </w:r>
      <w:r w:rsidR="00FB291D">
        <w:rPr>
          <w:rFonts w:cs="Arial"/>
          <w:szCs w:val="20"/>
        </w:rPr>
        <w:t xml:space="preserve"> kteří potřebují dodatečné finanční prostředky, např. na zařízení bytu, mají</w:t>
      </w:r>
      <w:r w:rsidR="00334716">
        <w:rPr>
          <w:rFonts w:cs="Arial"/>
          <w:szCs w:val="20"/>
        </w:rPr>
        <w:t xml:space="preserve"> stále </w:t>
      </w:r>
      <w:r w:rsidR="00FB291D">
        <w:rPr>
          <w:rFonts w:cs="Arial"/>
          <w:szCs w:val="20"/>
        </w:rPr>
        <w:t>možnost získat doplňkovou část k hypotéce ve výši až půl milionu korun bez dokládání účelu</w:t>
      </w:r>
      <w:r>
        <w:rPr>
          <w:rFonts w:cs="Arial"/>
          <w:szCs w:val="20"/>
        </w:rPr>
        <w:t>.</w:t>
      </w:r>
    </w:p>
    <w:p w:rsidR="00AC5F6A" w:rsidRDefault="001735FB" w:rsidP="001D3E16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Celkovou razantní proměnou prošla i hypoteční webová stránka </w:t>
      </w:r>
      <w:r w:rsidR="00C11527">
        <w:rPr>
          <w:rFonts w:cs="Arial"/>
          <w:szCs w:val="20"/>
        </w:rPr>
        <w:t>s</w:t>
      </w:r>
      <w:hyperlink r:id="rId7" w:history="1">
        <w:r w:rsidRPr="003D21C0">
          <w:rPr>
            <w:rStyle w:val="Hypertextovodkaz"/>
            <w:rFonts w:cs="Arial"/>
            <w:szCs w:val="20"/>
          </w:rPr>
          <w:t>www.chcihypoteku.cz</w:t>
        </w:r>
      </w:hyperlink>
      <w:r w:rsidR="00DE7F73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Každý zájemce o </w:t>
      </w:r>
      <w:r w:rsidR="00DE7F73">
        <w:rPr>
          <w:rFonts w:cs="Arial"/>
          <w:szCs w:val="20"/>
        </w:rPr>
        <w:t xml:space="preserve">FÉR </w:t>
      </w:r>
      <w:r>
        <w:rPr>
          <w:rFonts w:cs="Arial"/>
          <w:szCs w:val="20"/>
        </w:rPr>
        <w:t>hypotéku zde může jednoduše</w:t>
      </w:r>
      <w:r w:rsidR="00DE7F73">
        <w:rPr>
          <w:rFonts w:cs="Arial"/>
          <w:szCs w:val="20"/>
        </w:rPr>
        <w:t xml:space="preserve"> a rychle zjistit, jak výhodnou nabídku v</w:t>
      </w:r>
      <w:r w:rsidR="00AC5F6A">
        <w:rPr>
          <w:rFonts w:cs="Arial"/>
          <w:szCs w:val="20"/>
        </w:rPr>
        <w:t>e </w:t>
      </w:r>
      <w:proofErr w:type="spellStart"/>
      <w:r w:rsidR="00AC5F6A">
        <w:rPr>
          <w:rFonts w:cs="Arial"/>
          <w:szCs w:val="20"/>
        </w:rPr>
        <w:t>Sberbank</w:t>
      </w:r>
      <w:proofErr w:type="spellEnd"/>
      <w:r w:rsidR="00AC5F6A">
        <w:rPr>
          <w:rFonts w:cs="Arial"/>
          <w:szCs w:val="20"/>
        </w:rPr>
        <w:t xml:space="preserve"> získá - s</w:t>
      </w:r>
      <w:r w:rsidR="00655054">
        <w:rPr>
          <w:rFonts w:cs="Arial"/>
          <w:szCs w:val="20"/>
        </w:rPr>
        <w:t xml:space="preserve">tačí zadat </w:t>
      </w:r>
      <w:r>
        <w:rPr>
          <w:rFonts w:cs="Arial"/>
          <w:szCs w:val="20"/>
        </w:rPr>
        <w:t>pár základn</w:t>
      </w:r>
      <w:r w:rsidR="00655054">
        <w:rPr>
          <w:rFonts w:cs="Arial"/>
          <w:szCs w:val="20"/>
        </w:rPr>
        <w:t>ích údajů</w:t>
      </w:r>
      <w:r w:rsidR="00AC5F6A">
        <w:rPr>
          <w:rFonts w:cs="Arial"/>
          <w:szCs w:val="20"/>
        </w:rPr>
        <w:t xml:space="preserve">, </w:t>
      </w:r>
      <w:r w:rsidR="00317237">
        <w:rPr>
          <w:rFonts w:cs="Arial"/>
          <w:szCs w:val="20"/>
        </w:rPr>
        <w:t>Klientům tím banka ušetří první cestu na pobočku. Celkově je používání stránky velmi intuitivní a uživatelsky přívětivé tak, aby se v nabídce vyznal opravdu každý.</w:t>
      </w:r>
    </w:p>
    <w:p w:rsidR="00FB291D" w:rsidRDefault="00FB291D" w:rsidP="001D3E16">
      <w:pPr>
        <w:jc w:val="both"/>
        <w:rPr>
          <w:rFonts w:cs="Arial"/>
          <w:szCs w:val="20"/>
        </w:rPr>
      </w:pPr>
    </w:p>
    <w:p w:rsidR="00334716" w:rsidRDefault="00334716" w:rsidP="001D3E16">
      <w:pPr>
        <w:jc w:val="both"/>
        <w:rPr>
          <w:rFonts w:cs="Arial"/>
          <w:szCs w:val="20"/>
        </w:rPr>
      </w:pPr>
    </w:p>
    <w:p w:rsidR="00CC4F52" w:rsidRPr="00C327E2" w:rsidRDefault="00C11527" w:rsidP="00CC4F52">
      <w:pPr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>Hana Drápalová</w:t>
      </w:r>
    </w:p>
    <w:p w:rsidR="00CC4F52" w:rsidRPr="003041CC" w:rsidRDefault="00CC4F52" w:rsidP="00CC4F52">
      <w:pPr>
        <w:tabs>
          <w:tab w:val="left" w:pos="5103"/>
        </w:tabs>
        <w:spacing w:after="0"/>
        <w:rPr>
          <w:rFonts w:cs="Arial"/>
          <w:szCs w:val="20"/>
        </w:rPr>
      </w:pPr>
      <w:r w:rsidRPr="003041CC">
        <w:rPr>
          <w:rFonts w:cs="Arial"/>
          <w:szCs w:val="20"/>
        </w:rPr>
        <w:t>Tiskové oddělení Sberbank CZ, a.s.</w:t>
      </w:r>
    </w:p>
    <w:p w:rsidR="00CC4F52" w:rsidRPr="003041CC" w:rsidRDefault="00CC4F52" w:rsidP="00CC4F52">
      <w:pPr>
        <w:tabs>
          <w:tab w:val="left" w:pos="5103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Tel.: </w:t>
      </w:r>
      <w:r w:rsidR="00C11527" w:rsidRPr="00C11527">
        <w:rPr>
          <w:rFonts w:cs="Arial"/>
          <w:szCs w:val="20"/>
          <w:lang w:eastAsia="cs-CZ"/>
        </w:rPr>
        <w:t>234 706 837</w:t>
      </w:r>
      <w:r w:rsidRPr="00C11527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724 012 617</w:t>
      </w:r>
      <w:r w:rsidRPr="003041CC">
        <w:rPr>
          <w:rFonts w:cs="Arial"/>
          <w:szCs w:val="20"/>
        </w:rPr>
        <w:t> </w:t>
      </w:r>
    </w:p>
    <w:p w:rsidR="00CC4F52" w:rsidRPr="003041CC" w:rsidRDefault="00CC4F52" w:rsidP="00CC4F52">
      <w:pPr>
        <w:tabs>
          <w:tab w:val="left" w:pos="5103"/>
        </w:tabs>
        <w:spacing w:after="0"/>
        <w:ind w:right="-108"/>
        <w:rPr>
          <w:rFonts w:cs="Arial"/>
          <w:szCs w:val="20"/>
        </w:rPr>
      </w:pPr>
      <w:r w:rsidRPr="003041CC">
        <w:rPr>
          <w:rFonts w:cs="Arial"/>
          <w:b/>
          <w:szCs w:val="20"/>
        </w:rPr>
        <w:t>E-mail:</w:t>
      </w:r>
      <w:r>
        <w:rPr>
          <w:rFonts w:cs="Arial"/>
          <w:szCs w:val="20"/>
        </w:rPr>
        <w:t xml:space="preserve"> </w:t>
      </w:r>
      <w:r w:rsidR="00C11527">
        <w:rPr>
          <w:rFonts w:cs="Arial"/>
          <w:szCs w:val="20"/>
        </w:rPr>
        <w:t>drapalov.hana</w:t>
      </w:r>
      <w:r w:rsidRPr="003041CC">
        <w:rPr>
          <w:rFonts w:cs="Arial"/>
          <w:szCs w:val="20"/>
        </w:rPr>
        <w:t>@sberbankcz.cz</w:t>
      </w:r>
    </w:p>
    <w:p w:rsidR="00CC4F52" w:rsidRPr="003041CC" w:rsidRDefault="00630575" w:rsidP="00CC4F52">
      <w:pPr>
        <w:tabs>
          <w:tab w:val="left" w:pos="5103"/>
        </w:tabs>
        <w:contextualSpacing/>
        <w:rPr>
          <w:rFonts w:cs="Arial"/>
          <w:b/>
          <w:color w:val="00703C"/>
          <w:szCs w:val="20"/>
        </w:rPr>
      </w:pPr>
      <w:hyperlink r:id="rId8" w:history="1">
        <w:r w:rsidR="00CC4F52" w:rsidRPr="003600D5">
          <w:rPr>
            <w:rStyle w:val="Hypertextovodkaz"/>
            <w:b/>
            <w:szCs w:val="20"/>
          </w:rPr>
          <w:t>www.Sberbank.cz</w:t>
        </w:r>
      </w:hyperlink>
      <w:hyperlink r:id="rId9" w:history="1"/>
    </w:p>
    <w:p w:rsidR="00CC4F52" w:rsidRPr="00A8599D" w:rsidRDefault="00CC4F52" w:rsidP="00CC4F52">
      <w:pPr>
        <w:contextualSpacing/>
        <w:jc w:val="both"/>
        <w:rPr>
          <w:rFonts w:cs="Arial"/>
          <w:b/>
          <w:color w:val="00703C"/>
          <w:szCs w:val="20"/>
        </w:rPr>
      </w:pPr>
    </w:p>
    <w:p w:rsidR="00CC4F52" w:rsidRPr="00A8599D" w:rsidRDefault="00630575" w:rsidP="00CC4F52">
      <w:pPr>
        <w:spacing w:after="0"/>
        <w:jc w:val="both"/>
        <w:rPr>
          <w:rFonts w:cs="Arial"/>
          <w:szCs w:val="20"/>
        </w:rPr>
      </w:pPr>
      <w:r w:rsidRPr="00630575">
        <w:rPr>
          <w:noProof/>
          <w:lang w:eastAsia="cs-CZ"/>
        </w:rPr>
        <w:pict>
          <v:line id="Line 7" o:spid="_x0000_s1026" style="position:absolute;left:0;text-align:left;z-index:251658240;visibility:visible;mso-wrap-distance-top:-1e-4mm;mso-wrap-distance-bottom:-1e-4mm" from="0,4.35pt" to="512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" strokecolor="#a5a5a5"/>
        </w:pict>
      </w:r>
    </w:p>
    <w:p w:rsidR="00CC4F52" w:rsidRPr="00A8599D" w:rsidRDefault="00CC4F52" w:rsidP="00CC4F52">
      <w:pPr>
        <w:spacing w:after="120"/>
        <w:jc w:val="both"/>
        <w:rPr>
          <w:rFonts w:cs="Arial"/>
          <w:b/>
          <w:bCs/>
          <w:color w:val="008000"/>
          <w:sz w:val="18"/>
          <w:szCs w:val="18"/>
        </w:rPr>
      </w:pPr>
      <w:r>
        <w:rPr>
          <w:rFonts w:cs="Arial"/>
          <w:b/>
          <w:bCs/>
          <w:color w:val="008000"/>
          <w:sz w:val="18"/>
          <w:szCs w:val="18"/>
        </w:rPr>
        <w:t xml:space="preserve">O společnosti </w:t>
      </w:r>
      <w:r w:rsidRPr="00A8599D">
        <w:rPr>
          <w:rFonts w:cs="Arial"/>
          <w:b/>
          <w:bCs/>
          <w:color w:val="008000"/>
          <w:sz w:val="18"/>
          <w:szCs w:val="18"/>
        </w:rPr>
        <w:t>Sberbank CZ, a.s.</w:t>
      </w:r>
    </w:p>
    <w:p w:rsidR="00CC4F52" w:rsidRPr="00096DB7" w:rsidRDefault="00CC4F52" w:rsidP="00CC4F52">
      <w:pPr>
        <w:pStyle w:val="Bezmezer1"/>
        <w:spacing w:after="240" w:line="276" w:lineRule="auto"/>
        <w:jc w:val="both"/>
        <w:rPr>
          <w:rFonts w:ascii="Arial" w:hAnsi="Arial" w:cs="Arial"/>
          <w:b/>
          <w:color w:val="008000"/>
          <w:sz w:val="17"/>
          <w:szCs w:val="17"/>
        </w:rPr>
      </w:pPr>
      <w:r w:rsidRPr="00A8599D">
        <w:rPr>
          <w:rFonts w:ascii="Arial" w:hAnsi="Arial" w:cs="Arial"/>
          <w:color w:val="008000"/>
          <w:sz w:val="17"/>
          <w:szCs w:val="17"/>
        </w:rPr>
        <w:t>Na českém trhu působí Sberbank CZ již od roku 1993, o</w:t>
      </w:r>
      <w:r>
        <w:rPr>
          <w:rFonts w:ascii="Arial" w:hAnsi="Arial" w:cs="Arial"/>
          <w:color w:val="008000"/>
          <w:sz w:val="17"/>
          <w:szCs w:val="17"/>
        </w:rPr>
        <w:t xml:space="preserve">d 1. ledna 1997 jako samostatná </w:t>
      </w:r>
      <w:r w:rsidRPr="00A8599D">
        <w:rPr>
          <w:rFonts w:ascii="Arial" w:hAnsi="Arial" w:cs="Arial"/>
          <w:color w:val="008000"/>
          <w:sz w:val="17"/>
          <w:szCs w:val="17"/>
        </w:rPr>
        <w:t xml:space="preserve">akciová společnost. Jejím majoritním vlastníkem je </w:t>
      </w:r>
      <w:proofErr w:type="spellStart"/>
      <w:r w:rsidRPr="00A8599D">
        <w:rPr>
          <w:rFonts w:ascii="Arial" w:hAnsi="Arial" w:cs="Arial"/>
          <w:color w:val="008000"/>
          <w:sz w:val="17"/>
          <w:szCs w:val="17"/>
        </w:rPr>
        <w:t>Sberbank</w:t>
      </w:r>
      <w:proofErr w:type="spellEnd"/>
      <w:r w:rsidRPr="00A8599D">
        <w:rPr>
          <w:rFonts w:ascii="Arial" w:hAnsi="Arial" w:cs="Arial"/>
          <w:color w:val="008000"/>
          <w:sz w:val="17"/>
          <w:szCs w:val="17"/>
        </w:rPr>
        <w:t xml:space="preserve"> </w:t>
      </w:r>
      <w:proofErr w:type="spellStart"/>
      <w:r w:rsidRPr="00A8599D">
        <w:rPr>
          <w:rFonts w:ascii="Arial" w:hAnsi="Arial" w:cs="Arial"/>
          <w:color w:val="008000"/>
          <w:sz w:val="17"/>
          <w:szCs w:val="17"/>
        </w:rPr>
        <w:t>Europe</w:t>
      </w:r>
      <w:proofErr w:type="spellEnd"/>
      <w:r w:rsidRPr="00A8599D">
        <w:rPr>
          <w:rFonts w:ascii="Arial" w:hAnsi="Arial" w:cs="Arial"/>
          <w:color w:val="008000"/>
          <w:sz w:val="17"/>
          <w:szCs w:val="17"/>
        </w:rPr>
        <w:t xml:space="preserve"> AG. Sberbank CZ je obchodní bankou se širokou nabídkou finančních produktů a služeb pro privátní </w:t>
      </w:r>
      <w:r>
        <w:rPr>
          <w:rFonts w:ascii="Arial" w:hAnsi="Arial" w:cs="Arial"/>
          <w:color w:val="008000"/>
          <w:sz w:val="17"/>
          <w:szCs w:val="17"/>
        </w:rPr>
        <w:br/>
      </w:r>
      <w:r w:rsidRPr="00A8599D">
        <w:rPr>
          <w:rFonts w:ascii="Arial" w:hAnsi="Arial" w:cs="Arial"/>
          <w:color w:val="008000"/>
          <w:sz w:val="17"/>
          <w:szCs w:val="17"/>
        </w:rPr>
        <w:t xml:space="preserve">i firemní klientelu. </w:t>
      </w:r>
      <w:r>
        <w:rPr>
          <w:rFonts w:ascii="Arial" w:hAnsi="Arial" w:cs="Arial"/>
          <w:color w:val="008000"/>
          <w:sz w:val="17"/>
          <w:szCs w:val="17"/>
        </w:rPr>
        <w:t xml:space="preserve">Může se pochlubit třetím místem v soutěži </w:t>
      </w:r>
      <w:r w:rsidRPr="00EC105B">
        <w:rPr>
          <w:rFonts w:ascii="Arial" w:hAnsi="Arial" w:cs="Arial"/>
          <w:b/>
          <w:color w:val="008000"/>
          <w:sz w:val="17"/>
          <w:szCs w:val="17"/>
        </w:rPr>
        <w:t>Klientsky</w:t>
      </w:r>
      <w:r>
        <w:rPr>
          <w:rFonts w:ascii="Arial" w:hAnsi="Arial" w:cs="Arial"/>
          <w:b/>
          <w:color w:val="008000"/>
          <w:sz w:val="17"/>
          <w:szCs w:val="17"/>
        </w:rPr>
        <w:t xml:space="preserve"> nejpřívětivější banka roku 2015 </w:t>
      </w:r>
      <w:r w:rsidRPr="00DA68DB">
        <w:rPr>
          <w:rFonts w:ascii="Arial" w:hAnsi="Arial" w:cs="Arial"/>
          <w:color w:val="008000"/>
          <w:sz w:val="17"/>
          <w:szCs w:val="17"/>
        </w:rPr>
        <w:t xml:space="preserve">a </w:t>
      </w:r>
      <w:r>
        <w:rPr>
          <w:rFonts w:ascii="Arial" w:hAnsi="Arial" w:cs="Arial"/>
          <w:color w:val="008000"/>
          <w:sz w:val="17"/>
          <w:szCs w:val="17"/>
        </w:rPr>
        <w:t xml:space="preserve">spořicí účet byl oceněn jako </w:t>
      </w:r>
      <w:r w:rsidRPr="00DA68DB">
        <w:rPr>
          <w:rFonts w:ascii="Arial" w:hAnsi="Arial" w:cs="Arial"/>
          <w:b/>
          <w:color w:val="008000"/>
          <w:sz w:val="17"/>
          <w:szCs w:val="17"/>
        </w:rPr>
        <w:t>Nejlepší finanční produkt roku 2014</w:t>
      </w:r>
      <w:r>
        <w:rPr>
          <w:rFonts w:ascii="Arial" w:hAnsi="Arial" w:cs="Arial"/>
          <w:color w:val="008000"/>
          <w:sz w:val="17"/>
          <w:szCs w:val="17"/>
        </w:rPr>
        <w:t>.</w:t>
      </w:r>
    </w:p>
    <w:p w:rsidR="0068187F" w:rsidRPr="005422E2" w:rsidRDefault="0068187F" w:rsidP="001D3E16">
      <w:pPr>
        <w:jc w:val="both"/>
        <w:rPr>
          <w:rFonts w:cs="Arial"/>
          <w:szCs w:val="20"/>
        </w:rPr>
      </w:pPr>
    </w:p>
    <w:p w:rsidR="006612A0" w:rsidRDefault="006612A0" w:rsidP="001D3E16">
      <w:pPr>
        <w:spacing w:after="0" w:line="240" w:lineRule="auto"/>
        <w:jc w:val="both"/>
      </w:pPr>
    </w:p>
    <w:sectPr w:rsidR="006612A0" w:rsidSect="00612EA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34" w:right="567" w:bottom="1134" w:left="1134" w:header="1077" w:footer="567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BC7D70F" w15:done="0"/>
  <w15:commentEx w15:paraId="0C9219B1" w15:done="0"/>
  <w15:commentEx w15:paraId="5BF05A77" w15:done="0"/>
  <w15:commentEx w15:paraId="2ECB65C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F6A" w:rsidRDefault="00AC5F6A" w:rsidP="007A3AA0">
      <w:pPr>
        <w:spacing w:after="0" w:line="240" w:lineRule="auto"/>
      </w:pPr>
      <w:r>
        <w:separator/>
      </w:r>
    </w:p>
  </w:endnote>
  <w:endnote w:type="continuationSeparator" w:id="0">
    <w:p w:rsidR="00AC5F6A" w:rsidRDefault="00AC5F6A" w:rsidP="007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6A" w:rsidRDefault="00AC5F6A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6A" w:rsidRPr="00221EBE" w:rsidRDefault="00AC5F6A" w:rsidP="00221EBE">
    <w:pPr>
      <w:pStyle w:val="Zpat"/>
    </w:pPr>
    <w:r>
      <w:rPr>
        <w:sz w:val="12"/>
        <w:szCs w:val="12"/>
      </w:rPr>
      <w:t>Sberbank CZ, a.s. je zapsaná v obchodním rejstříku vedeném Městským soudem v Praze, spisová značka B 4353.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F6A" w:rsidRDefault="00AC5F6A" w:rsidP="007A3AA0">
      <w:pPr>
        <w:spacing w:after="0" w:line="240" w:lineRule="auto"/>
      </w:pPr>
      <w:r>
        <w:separator/>
      </w:r>
    </w:p>
  </w:footnote>
  <w:footnote w:type="continuationSeparator" w:id="0">
    <w:p w:rsidR="00AC5F6A" w:rsidRDefault="00AC5F6A" w:rsidP="007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6A" w:rsidRPr="007A3AA0" w:rsidRDefault="00AC5F6A" w:rsidP="00341AFD">
    <w:pPr>
      <w:pStyle w:val="Zhlav"/>
      <w:spacing w:line="180" w:lineRule="exac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4932680"/>
          <wp:effectExtent l="19050" t="0" r="2540" b="0"/>
          <wp:wrapNone/>
          <wp:docPr id="9" name="obrázek 9" descr="VB12-999 SBERBANK tiskova zprava 2013-01WORD - podklad - 96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B12-999 SBERBANK tiskova zprava 2013-01WORD - podklad - 96 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93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</w:p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</w:p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</w:p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</w:p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page">
            <wp:posOffset>6617335</wp:posOffset>
          </wp:positionH>
          <wp:positionV relativeFrom="page">
            <wp:posOffset>568960</wp:posOffset>
          </wp:positionV>
          <wp:extent cx="669290" cy="669290"/>
          <wp:effectExtent l="19050" t="0" r="0" b="0"/>
          <wp:wrapNone/>
          <wp:docPr id="18" name="obrázek 18" descr="NB_Razítko_Klientsky nejpřívětivější banka 2015 (3 místo)_křivky 4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NB_Razítko_Klientsky nejpřívětivější banka 2015 (3 místo)_křivky 400 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C5F6A" w:rsidRPr="00AB7E9D" w:rsidRDefault="00AC5F6A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670685" cy="316865"/>
          <wp:effectExtent l="19050" t="0" r="5715" b="0"/>
          <wp:wrapNone/>
          <wp:docPr id="1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5825490</wp:posOffset>
          </wp:positionH>
          <wp:positionV relativeFrom="page">
            <wp:posOffset>568960</wp:posOffset>
          </wp:positionV>
          <wp:extent cx="669290" cy="673100"/>
          <wp:effectExtent l="19050" t="0" r="0" b="0"/>
          <wp:wrapNone/>
          <wp:docPr id="1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5033645</wp:posOffset>
          </wp:positionH>
          <wp:positionV relativeFrom="page">
            <wp:posOffset>568960</wp:posOffset>
          </wp:positionV>
          <wp:extent cx="673100" cy="673100"/>
          <wp:effectExtent l="19050" t="0" r="0" b="0"/>
          <wp:wrapNone/>
          <wp:docPr id="1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30575" w:rsidRPr="00630575">
      <w:rPr>
        <w:noProof/>
        <w:lang w:eastAsia="cs-CZ"/>
      </w:rPr>
      <w:pict>
        <v:line id="Přímá spojnice 3" o:spid="_x0000_s2054" style="position:absolute;z-index:251655168;visibility:visible;mso-position-horizontal-relative:text;mso-position-vertical-relative:page;mso-width-relative:margin" from="0,170.1pt" to="510.2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" strokeweight=".5pt">
          <w10:wrap anchory="page"/>
          <w10:anchorlock/>
        </v:line>
      </w:pict>
    </w:r>
    <w:r w:rsidRPr="00AB7E9D">
      <w:rPr>
        <w:rFonts w:cs="Arial"/>
        <w:sz w:val="15"/>
        <w:szCs w:val="15"/>
      </w:rPr>
      <w:t>Sberbank CZ, a.s.</w:t>
    </w:r>
  </w:p>
  <w:p w:rsidR="00AC5F6A" w:rsidRPr="00AB7E9D" w:rsidRDefault="00AC5F6A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Na Pankráci 1724/129, 140 00 Praha 4, Česká republika</w:t>
    </w:r>
  </w:p>
  <w:p w:rsidR="00AC5F6A" w:rsidRPr="00AB7E9D" w:rsidRDefault="00AC5F6A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IČ: 25083325, DIČ: CZ25083325</w:t>
    </w:r>
  </w:p>
  <w:p w:rsidR="00AC5F6A" w:rsidRPr="00AB7E9D" w:rsidRDefault="00AC5F6A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Bankovní spojení: 8010200037/6800,</w:t>
    </w:r>
    <w:r>
      <w:rPr>
        <w:rFonts w:cs="Arial"/>
        <w:sz w:val="15"/>
        <w:szCs w:val="15"/>
      </w:rPr>
      <w:t xml:space="preserve"> </w:t>
    </w:r>
    <w:r w:rsidRPr="00AB7E9D">
      <w:rPr>
        <w:rFonts w:cs="Arial"/>
        <w:sz w:val="15"/>
        <w:szCs w:val="15"/>
      </w:rPr>
      <w:t>Kód banky: 6800</w:t>
    </w:r>
  </w:p>
  <w:p w:rsidR="00AC5F6A" w:rsidRPr="00AB7E9D" w:rsidRDefault="00AC5F6A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IBAN: CZ9468000000008010200037,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BIC: VBOECZ2X</w:t>
    </w:r>
  </w:p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www.sberbank.cz, Infolinka 800 133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444</w:t>
    </w:r>
  </w:p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</w:p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</w:p>
  <w:p w:rsidR="00AC5F6A" w:rsidRDefault="00AC5F6A" w:rsidP="00442C94">
    <w:pPr>
      <w:pStyle w:val="Zhlav"/>
      <w:spacing w:line="180" w:lineRule="exact"/>
      <w:rPr>
        <w:rFonts w:cs="Arial"/>
        <w:sz w:val="15"/>
        <w:szCs w:val="15"/>
      </w:rPr>
    </w:pPr>
  </w:p>
  <w:p w:rsidR="00AC5F6A" w:rsidRPr="00BE20B4" w:rsidRDefault="00AC5F6A" w:rsidP="007659D3">
    <w:pPr>
      <w:pStyle w:val="Zhlav"/>
      <w:spacing w:line="520" w:lineRule="exact"/>
      <w:rPr>
        <w:rFonts w:cs="Arial"/>
        <w:spacing w:val="-10"/>
        <w:sz w:val="48"/>
        <w:szCs w:val="52"/>
      </w:rPr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3850005</wp:posOffset>
          </wp:positionV>
          <wp:extent cx="7543800" cy="4903470"/>
          <wp:effectExtent l="19050" t="0" r="0" b="0"/>
          <wp:wrapNone/>
          <wp:docPr id="2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4903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E20B4">
      <w:rPr>
        <w:rFonts w:cs="Arial"/>
        <w:spacing w:val="-10"/>
        <w:sz w:val="48"/>
        <w:szCs w:val="52"/>
      </w:rPr>
      <w:t>TISKOVÁ ZPRÁVA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tek Vojtech">
    <w15:presenceInfo w15:providerId="AD" w15:userId="S-1-5-21-1435120466-1829514429-1850952788-4634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0775A"/>
    <w:rsid w:val="00067E1D"/>
    <w:rsid w:val="00105D43"/>
    <w:rsid w:val="00122711"/>
    <w:rsid w:val="001430B5"/>
    <w:rsid w:val="00160AD8"/>
    <w:rsid w:val="00165FEE"/>
    <w:rsid w:val="001735FB"/>
    <w:rsid w:val="001C7A49"/>
    <w:rsid w:val="001D3E16"/>
    <w:rsid w:val="001F172E"/>
    <w:rsid w:val="001F1F52"/>
    <w:rsid w:val="00214502"/>
    <w:rsid w:val="00221EBE"/>
    <w:rsid w:val="002A35E6"/>
    <w:rsid w:val="002B0FF2"/>
    <w:rsid w:val="002B63AC"/>
    <w:rsid w:val="00317237"/>
    <w:rsid w:val="00321CCD"/>
    <w:rsid w:val="00334716"/>
    <w:rsid w:val="00341AFD"/>
    <w:rsid w:val="00347957"/>
    <w:rsid w:val="00382B9D"/>
    <w:rsid w:val="00395963"/>
    <w:rsid w:val="003A6499"/>
    <w:rsid w:val="003D166F"/>
    <w:rsid w:val="003F3E2E"/>
    <w:rsid w:val="00442C94"/>
    <w:rsid w:val="00452E56"/>
    <w:rsid w:val="004A0624"/>
    <w:rsid w:val="00516784"/>
    <w:rsid w:val="005C62F9"/>
    <w:rsid w:val="005E2106"/>
    <w:rsid w:val="00612EAB"/>
    <w:rsid w:val="00617283"/>
    <w:rsid w:val="00630575"/>
    <w:rsid w:val="00637EA0"/>
    <w:rsid w:val="00655054"/>
    <w:rsid w:val="006612A0"/>
    <w:rsid w:val="0068187F"/>
    <w:rsid w:val="007659D3"/>
    <w:rsid w:val="0078128B"/>
    <w:rsid w:val="00785133"/>
    <w:rsid w:val="007A0499"/>
    <w:rsid w:val="007A3AA0"/>
    <w:rsid w:val="007B1A42"/>
    <w:rsid w:val="007D6C14"/>
    <w:rsid w:val="007F3ECD"/>
    <w:rsid w:val="00850956"/>
    <w:rsid w:val="00892E26"/>
    <w:rsid w:val="008D4D0B"/>
    <w:rsid w:val="00A4495B"/>
    <w:rsid w:val="00A62620"/>
    <w:rsid w:val="00A62EF6"/>
    <w:rsid w:val="00A96B42"/>
    <w:rsid w:val="00AA6ED2"/>
    <w:rsid w:val="00AB7E9D"/>
    <w:rsid w:val="00AC5F6A"/>
    <w:rsid w:val="00B0775A"/>
    <w:rsid w:val="00B3057D"/>
    <w:rsid w:val="00B36D08"/>
    <w:rsid w:val="00B4366E"/>
    <w:rsid w:val="00B77C4E"/>
    <w:rsid w:val="00BB677D"/>
    <w:rsid w:val="00BD00AD"/>
    <w:rsid w:val="00C11527"/>
    <w:rsid w:val="00C47B90"/>
    <w:rsid w:val="00C5550B"/>
    <w:rsid w:val="00C65C91"/>
    <w:rsid w:val="00C8448E"/>
    <w:rsid w:val="00CC4F52"/>
    <w:rsid w:val="00D66D9B"/>
    <w:rsid w:val="00DA0837"/>
    <w:rsid w:val="00DB5802"/>
    <w:rsid w:val="00DD250A"/>
    <w:rsid w:val="00DD45A4"/>
    <w:rsid w:val="00DE7F73"/>
    <w:rsid w:val="00E163A1"/>
    <w:rsid w:val="00E25942"/>
    <w:rsid w:val="00E872CB"/>
    <w:rsid w:val="00EA2975"/>
    <w:rsid w:val="00EB2A1B"/>
    <w:rsid w:val="00ED3EB8"/>
    <w:rsid w:val="00EE2A61"/>
    <w:rsid w:val="00EF09AE"/>
    <w:rsid w:val="00F01F56"/>
    <w:rsid w:val="00F76AF6"/>
    <w:rsid w:val="00F8524A"/>
    <w:rsid w:val="00FB291D"/>
    <w:rsid w:val="00FE3B81"/>
    <w:rsid w:val="00FE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59D3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A2975"/>
    <w:pPr>
      <w:keepNext/>
      <w:spacing w:before="240" w:after="60"/>
      <w:outlineLvl w:val="0"/>
    </w:pPr>
    <w:rPr>
      <w:rFonts w:eastAsia="Times New Roman"/>
      <w:b/>
      <w:bCs/>
      <w:color w:val="00703C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7EA0"/>
    <w:pPr>
      <w:keepNext/>
      <w:spacing w:before="240" w:after="60"/>
      <w:outlineLvl w:val="1"/>
    </w:pPr>
    <w:rPr>
      <w:rFonts w:eastAsia="Times New Roman"/>
      <w:bCs/>
      <w:iCs/>
      <w:color w:val="646464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3AA0"/>
  </w:style>
  <w:style w:type="paragraph" w:styleId="Zpat">
    <w:name w:val="footer"/>
    <w:basedOn w:val="Normln"/>
    <w:link w:val="Zpat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3AA0"/>
  </w:style>
  <w:style w:type="paragraph" w:styleId="Textbubliny">
    <w:name w:val="Balloon Text"/>
    <w:basedOn w:val="Normln"/>
    <w:link w:val="TextbublinyChar"/>
    <w:uiPriority w:val="99"/>
    <w:semiHidden/>
    <w:unhideWhenUsed/>
    <w:rsid w:val="007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A3AA0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A2975"/>
    <w:rPr>
      <w:rFonts w:ascii="Arial" w:eastAsia="Times New Roman" w:hAnsi="Arial" w:cs="Times New Roman"/>
      <w:b/>
      <w:bCs/>
      <w:color w:val="00703C"/>
      <w:kern w:val="32"/>
      <w:sz w:val="32"/>
      <w:szCs w:val="32"/>
      <w:lang w:eastAsia="en-US"/>
    </w:rPr>
  </w:style>
  <w:style w:type="paragraph" w:styleId="Bezmezer">
    <w:name w:val="No Spacing"/>
    <w:uiPriority w:val="1"/>
    <w:qFormat/>
    <w:rsid w:val="00637EA0"/>
    <w:rPr>
      <w:rFonts w:ascii="Arial" w:hAnsi="Arial"/>
      <w:szCs w:val="2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7EA0"/>
    <w:pPr>
      <w:spacing w:after="60"/>
      <w:jc w:val="center"/>
      <w:outlineLvl w:val="1"/>
    </w:pPr>
    <w:rPr>
      <w:rFonts w:eastAsia="Times New Roman"/>
      <w:color w:val="00703C"/>
      <w:sz w:val="24"/>
      <w:szCs w:val="24"/>
    </w:rPr>
  </w:style>
  <w:style w:type="character" w:customStyle="1" w:styleId="PodtitulChar">
    <w:name w:val="Podtitul Char"/>
    <w:link w:val="Podtitul"/>
    <w:uiPriority w:val="11"/>
    <w:rsid w:val="00637EA0"/>
    <w:rPr>
      <w:rFonts w:ascii="Arial" w:eastAsia="Times New Roman" w:hAnsi="Arial" w:cs="Times New Roman"/>
      <w:color w:val="00703C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37EA0"/>
    <w:pPr>
      <w:spacing w:before="240" w:after="60"/>
      <w:outlineLvl w:val="0"/>
    </w:pPr>
    <w:rPr>
      <w:rFonts w:eastAsia="Times New Roman"/>
      <w:bCs/>
      <w:kern w:val="28"/>
      <w:sz w:val="52"/>
      <w:szCs w:val="32"/>
    </w:rPr>
  </w:style>
  <w:style w:type="character" w:customStyle="1" w:styleId="NzevChar">
    <w:name w:val="Název Char"/>
    <w:link w:val="Nzev"/>
    <w:uiPriority w:val="10"/>
    <w:rsid w:val="00637EA0"/>
    <w:rPr>
      <w:rFonts w:ascii="Arial" w:eastAsia="Times New Roman" w:hAnsi="Arial" w:cs="Times New Roman"/>
      <w:bCs/>
      <w:kern w:val="28"/>
      <w:sz w:val="5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37EA0"/>
    <w:rPr>
      <w:rFonts w:ascii="Arial" w:eastAsia="Times New Roman" w:hAnsi="Arial" w:cs="Times New Roman"/>
      <w:bCs/>
      <w:iCs/>
      <w:color w:val="646464"/>
      <w:sz w:val="28"/>
      <w:szCs w:val="28"/>
      <w:lang w:eastAsia="en-US"/>
    </w:rPr>
  </w:style>
  <w:style w:type="character" w:customStyle="1" w:styleId="Zvraznn1">
    <w:name w:val="Zvýraznění1"/>
    <w:uiPriority w:val="20"/>
    <w:qFormat/>
    <w:rsid w:val="00637EA0"/>
    <w:rPr>
      <w:rFonts w:ascii="Arial" w:hAnsi="Arial"/>
      <w:b w:val="0"/>
      <w:i w:val="0"/>
      <w:iCs/>
      <w:color w:val="00703C"/>
      <w:sz w:val="20"/>
    </w:rPr>
  </w:style>
  <w:style w:type="character" w:styleId="Zdraznnjemn">
    <w:name w:val="Subtle Emphasis"/>
    <w:uiPriority w:val="19"/>
    <w:qFormat/>
    <w:rsid w:val="00637EA0"/>
    <w:rPr>
      <w:rFonts w:ascii="Arial" w:hAnsi="Arial"/>
      <w:b/>
      <w:i w:val="0"/>
      <w:iCs/>
      <w:color w:val="00703C"/>
      <w:sz w:val="20"/>
    </w:rPr>
  </w:style>
  <w:style w:type="character" w:styleId="Siln">
    <w:name w:val="Strong"/>
    <w:uiPriority w:val="22"/>
    <w:qFormat/>
    <w:rsid w:val="00637EA0"/>
    <w:rPr>
      <w:rFonts w:ascii="Arial" w:hAnsi="Arial"/>
      <w:b/>
      <w:bCs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68187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8187F"/>
    <w:pPr>
      <w:spacing w:before="100" w:beforeAutospacing="1" w:after="100" w:afterAutospacing="1" w:line="240" w:lineRule="auto"/>
    </w:pPr>
    <w:rPr>
      <w:rFonts w:asciiTheme="minorHAnsi" w:eastAsiaTheme="minorHAnsi" w:hAnsiTheme="minorHAnsi" w:cstheme="minorBidi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8187F"/>
    <w:rPr>
      <w:rFonts w:asciiTheme="minorHAnsi" w:eastAsiaTheme="minorHAnsi" w:hAnsiTheme="minorHAnsi" w:cstheme="minorBidi"/>
      <w:lang w:eastAsia="en-US"/>
    </w:rPr>
  </w:style>
  <w:style w:type="character" w:styleId="Hypertextovodkaz">
    <w:name w:val="Hyperlink"/>
    <w:basedOn w:val="Standardnpsmoodstavce"/>
    <w:uiPriority w:val="99"/>
    <w:rsid w:val="00CC4F52"/>
    <w:rPr>
      <w:rFonts w:cs="Times New Roman"/>
      <w:color w:val="0000FF"/>
      <w:u w:val="single"/>
    </w:rPr>
  </w:style>
  <w:style w:type="paragraph" w:customStyle="1" w:styleId="Bezmezer1">
    <w:name w:val="Bez mezer1"/>
    <w:uiPriority w:val="99"/>
    <w:rsid w:val="00CC4F52"/>
    <w:rPr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62F9"/>
    <w:pPr>
      <w:spacing w:before="0" w:beforeAutospacing="0" w:after="200" w:afterAutospacing="0"/>
    </w:pPr>
    <w:rPr>
      <w:rFonts w:ascii="Arial" w:eastAsia="Calibri" w:hAnsi="Arial" w:cs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62F9"/>
    <w:rPr>
      <w:rFonts w:ascii="Arial" w:eastAsiaTheme="minorHAnsi" w:hAnsi="Arial" w:cstheme="minorBid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0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cz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chcihypoteku.cz" TargetMode="External"/><Relationship Id="rId12" Type="http://schemas.openxmlformats.org/officeDocument/2006/relationships/header" Target="header2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berbankCZ.cz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622257-A4C1-42D7-AC13-0D5F1B511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675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KEIES GRAPHICS</Company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Sberbank CZ, a.s.</dc:creator>
  <cp:lastModifiedBy>Sberbank CZ, a.s.</cp:lastModifiedBy>
  <cp:revision>3</cp:revision>
  <dcterms:created xsi:type="dcterms:W3CDTF">2015-11-13T10:53:00Z</dcterms:created>
  <dcterms:modified xsi:type="dcterms:W3CDTF">2015-11-18T07:12:00Z</dcterms:modified>
</cp:coreProperties>
</file>