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4E" w:rsidRPr="00724797" w:rsidRDefault="00861BCE" w:rsidP="0051644E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Představenstvo </w:t>
      </w:r>
      <w:r w:rsidR="0051644E" w:rsidRPr="00724797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51644E" w:rsidRPr="00724797">
        <w:rPr>
          <w:rFonts w:cs="Arial"/>
          <w:b/>
          <w:bCs/>
          <w:sz w:val="24"/>
          <w:szCs w:val="24"/>
        </w:rPr>
        <w:t>Sberbank</w:t>
      </w:r>
      <w:proofErr w:type="spellEnd"/>
      <w:r w:rsidR="0051644E" w:rsidRPr="00724797">
        <w:rPr>
          <w:rFonts w:cs="Arial"/>
          <w:b/>
          <w:bCs/>
          <w:sz w:val="24"/>
          <w:szCs w:val="24"/>
        </w:rPr>
        <w:t xml:space="preserve"> CZ </w:t>
      </w:r>
      <w:r>
        <w:rPr>
          <w:rFonts w:cs="Arial"/>
          <w:b/>
          <w:bCs/>
          <w:sz w:val="24"/>
          <w:szCs w:val="24"/>
        </w:rPr>
        <w:t xml:space="preserve">posiluje </w:t>
      </w:r>
      <w:r w:rsidR="003B6BBA">
        <w:rPr>
          <w:rFonts w:cs="Arial"/>
          <w:b/>
          <w:bCs/>
          <w:sz w:val="24"/>
          <w:szCs w:val="24"/>
        </w:rPr>
        <w:t xml:space="preserve">Jindřich Horníček jako </w:t>
      </w:r>
      <w:r>
        <w:rPr>
          <w:rFonts w:cs="Arial"/>
          <w:b/>
          <w:bCs/>
          <w:sz w:val="24"/>
          <w:szCs w:val="24"/>
        </w:rPr>
        <w:t>nový člen zodpovědný za řízení rizik</w:t>
      </w:r>
    </w:p>
    <w:p w:rsidR="0051644E" w:rsidRPr="00724797" w:rsidRDefault="0051644E" w:rsidP="0051644E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51644E" w:rsidRDefault="0051644E" w:rsidP="0051644E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Cs w:val="20"/>
        </w:rPr>
      </w:pPr>
      <w:r w:rsidRPr="00724797">
        <w:rPr>
          <w:rFonts w:cs="Arial"/>
          <w:b/>
          <w:szCs w:val="20"/>
        </w:rPr>
        <w:t xml:space="preserve">Praha, </w:t>
      </w:r>
      <w:r w:rsidR="0092391E">
        <w:rPr>
          <w:rFonts w:cs="Arial"/>
          <w:b/>
          <w:szCs w:val="20"/>
        </w:rPr>
        <w:t>1. února</w:t>
      </w:r>
      <w:r>
        <w:rPr>
          <w:rFonts w:cs="Arial"/>
          <w:b/>
          <w:szCs w:val="20"/>
        </w:rPr>
        <w:t xml:space="preserve"> 2016</w:t>
      </w:r>
      <w:r w:rsidRPr="00724797">
        <w:rPr>
          <w:rFonts w:cs="Arial"/>
          <w:b/>
          <w:szCs w:val="20"/>
        </w:rPr>
        <w:t xml:space="preserve"> – </w:t>
      </w:r>
      <w:r w:rsidR="00861BCE">
        <w:rPr>
          <w:rFonts w:cs="Arial"/>
          <w:b/>
          <w:szCs w:val="20"/>
        </w:rPr>
        <w:t>Novým členem představenstva se od února</w:t>
      </w:r>
      <w:r w:rsidR="00176117">
        <w:rPr>
          <w:rFonts w:cs="Arial"/>
          <w:b/>
          <w:szCs w:val="20"/>
        </w:rPr>
        <w:t xml:space="preserve"> stal Jindřich Horníček</w:t>
      </w:r>
      <w:r w:rsidR="00623156">
        <w:rPr>
          <w:rFonts w:cs="Arial"/>
          <w:b/>
          <w:szCs w:val="20"/>
        </w:rPr>
        <w:t xml:space="preserve"> (38)</w:t>
      </w:r>
      <w:r w:rsidR="00176117">
        <w:rPr>
          <w:rFonts w:cs="Arial"/>
          <w:b/>
          <w:szCs w:val="20"/>
        </w:rPr>
        <w:t>, který bude působit</w:t>
      </w:r>
      <w:r w:rsidR="00C466B1">
        <w:rPr>
          <w:rFonts w:cs="Arial"/>
          <w:b/>
          <w:szCs w:val="20"/>
        </w:rPr>
        <w:t xml:space="preserve"> jako</w:t>
      </w:r>
      <w:r w:rsidR="00176117">
        <w:rPr>
          <w:rFonts w:cs="Arial"/>
          <w:b/>
          <w:szCs w:val="20"/>
        </w:rPr>
        <w:t xml:space="preserve"> </w:t>
      </w:r>
      <w:proofErr w:type="spellStart"/>
      <w:r w:rsidR="00176117">
        <w:rPr>
          <w:rFonts w:cs="Arial"/>
          <w:b/>
          <w:szCs w:val="20"/>
        </w:rPr>
        <w:t>Chief</w:t>
      </w:r>
      <w:proofErr w:type="spellEnd"/>
      <w:r w:rsidR="00176117">
        <w:rPr>
          <w:rFonts w:cs="Arial"/>
          <w:b/>
          <w:szCs w:val="20"/>
        </w:rPr>
        <w:t xml:space="preserve"> Risk </w:t>
      </w:r>
      <w:proofErr w:type="spellStart"/>
      <w:r w:rsidR="00176117">
        <w:rPr>
          <w:rFonts w:cs="Arial"/>
          <w:b/>
          <w:szCs w:val="20"/>
        </w:rPr>
        <w:t>Officer</w:t>
      </w:r>
      <w:proofErr w:type="spellEnd"/>
      <w:r w:rsidR="00176117">
        <w:rPr>
          <w:rFonts w:cs="Arial"/>
          <w:b/>
          <w:szCs w:val="20"/>
        </w:rPr>
        <w:t xml:space="preserve">. </w:t>
      </w:r>
    </w:p>
    <w:p w:rsidR="0051644E" w:rsidRPr="00724797" w:rsidRDefault="00176117" w:rsidP="0051644E">
      <w:pPr>
        <w:spacing w:after="82"/>
        <w:jc w:val="both"/>
        <w:rPr>
          <w:rFonts w:eastAsia="Times New Roman" w:cs="Arial"/>
          <w:szCs w:val="20"/>
          <w:lang w:eastAsia="cs-CZ"/>
        </w:rPr>
      </w:pPr>
      <w:r>
        <w:rPr>
          <w:rFonts w:cs="Arial"/>
          <w:bCs/>
          <w:szCs w:val="20"/>
        </w:rPr>
        <w:t xml:space="preserve">Jindřich Horníček se řízení rizik ve </w:t>
      </w:r>
      <w:proofErr w:type="spellStart"/>
      <w:r>
        <w:rPr>
          <w:rFonts w:cs="Arial"/>
          <w:bCs/>
          <w:szCs w:val="20"/>
        </w:rPr>
        <w:t>Sberbank</w:t>
      </w:r>
      <w:proofErr w:type="spellEnd"/>
      <w:r>
        <w:rPr>
          <w:rFonts w:cs="Arial"/>
          <w:bCs/>
          <w:szCs w:val="20"/>
        </w:rPr>
        <w:t xml:space="preserve"> věnuje celou svou profesní kariéru. Kariéru zahájil před </w:t>
      </w:r>
      <w:r w:rsidR="00C609B8">
        <w:rPr>
          <w:rFonts w:cs="Arial"/>
          <w:bCs/>
          <w:szCs w:val="20"/>
        </w:rPr>
        <w:t>čtrnácti</w:t>
      </w:r>
      <w:r>
        <w:rPr>
          <w:rFonts w:cs="Arial"/>
          <w:bCs/>
          <w:szCs w:val="20"/>
        </w:rPr>
        <w:t xml:space="preserve"> lety ve </w:t>
      </w:r>
      <w:proofErr w:type="spellStart"/>
      <w:r>
        <w:rPr>
          <w:rFonts w:cs="Arial"/>
          <w:bCs/>
          <w:szCs w:val="20"/>
        </w:rPr>
        <w:t>Sberbank</w:t>
      </w:r>
      <w:proofErr w:type="spellEnd"/>
      <w:r>
        <w:rPr>
          <w:rFonts w:cs="Arial"/>
          <w:bCs/>
          <w:szCs w:val="20"/>
        </w:rPr>
        <w:t xml:space="preserve"> (dřívější </w:t>
      </w:r>
      <w:proofErr w:type="spellStart"/>
      <w:r>
        <w:rPr>
          <w:rFonts w:cs="Arial"/>
          <w:bCs/>
          <w:szCs w:val="20"/>
        </w:rPr>
        <w:t>Volksbank</w:t>
      </w:r>
      <w:proofErr w:type="spellEnd"/>
      <w:r>
        <w:rPr>
          <w:rFonts w:cs="Arial"/>
          <w:bCs/>
          <w:szCs w:val="20"/>
        </w:rPr>
        <w:t xml:space="preserve">) jako </w:t>
      </w:r>
      <w:proofErr w:type="spellStart"/>
      <w:r>
        <w:rPr>
          <w:rFonts w:cs="Arial"/>
          <w:bCs/>
          <w:szCs w:val="20"/>
        </w:rPr>
        <w:t>Credit</w:t>
      </w:r>
      <w:proofErr w:type="spellEnd"/>
      <w:r>
        <w:rPr>
          <w:rFonts w:cs="Arial"/>
          <w:bCs/>
          <w:szCs w:val="20"/>
        </w:rPr>
        <w:t xml:space="preserve"> Risk </w:t>
      </w:r>
      <w:proofErr w:type="spellStart"/>
      <w:r>
        <w:rPr>
          <w:rFonts w:cs="Arial"/>
          <w:bCs/>
          <w:szCs w:val="20"/>
        </w:rPr>
        <w:t>Manager</w:t>
      </w:r>
      <w:proofErr w:type="spellEnd"/>
      <w:r>
        <w:rPr>
          <w:rFonts w:cs="Arial"/>
          <w:bCs/>
          <w:szCs w:val="20"/>
        </w:rPr>
        <w:t xml:space="preserve">. O necelých pět </w:t>
      </w:r>
      <w:r w:rsidR="002C74D7">
        <w:rPr>
          <w:rFonts w:cs="Arial"/>
          <w:bCs/>
          <w:szCs w:val="20"/>
        </w:rPr>
        <w:t xml:space="preserve">let </w:t>
      </w:r>
      <w:bookmarkStart w:id="0" w:name="_GoBack"/>
      <w:bookmarkEnd w:id="0"/>
      <w:r>
        <w:rPr>
          <w:rFonts w:cs="Arial"/>
          <w:bCs/>
          <w:szCs w:val="20"/>
        </w:rPr>
        <w:t xml:space="preserve">později již zastával </w:t>
      </w:r>
      <w:r w:rsidR="001009CF">
        <w:rPr>
          <w:rFonts w:cs="Arial"/>
          <w:bCs/>
          <w:szCs w:val="20"/>
        </w:rPr>
        <w:t>funkci ve vrcholovém řízení banky</w:t>
      </w:r>
      <w:r>
        <w:rPr>
          <w:rFonts w:cs="Arial"/>
          <w:bCs/>
          <w:szCs w:val="20"/>
        </w:rPr>
        <w:t xml:space="preserve">, nejdříve jako vedoucí oddělení odpovědný za řízení úvěrového rizika </w:t>
      </w:r>
      <w:r w:rsidR="00C609B8">
        <w:rPr>
          <w:rFonts w:cs="Arial"/>
          <w:bCs/>
          <w:szCs w:val="20"/>
        </w:rPr>
        <w:br/>
        <w:t xml:space="preserve">u </w:t>
      </w:r>
      <w:r>
        <w:rPr>
          <w:rFonts w:cs="Arial"/>
          <w:bCs/>
          <w:szCs w:val="20"/>
        </w:rPr>
        <w:t>podnikatelských úvěrů a úvěrů pro malé a střední firmy. Pozd</w:t>
      </w:r>
      <w:r w:rsidR="001009CF">
        <w:rPr>
          <w:rFonts w:cs="Arial"/>
          <w:bCs/>
          <w:szCs w:val="20"/>
        </w:rPr>
        <w:t xml:space="preserve">ěji pod jeho vedení přešlo </w:t>
      </w:r>
      <w:r>
        <w:rPr>
          <w:rFonts w:cs="Arial"/>
          <w:bCs/>
          <w:szCs w:val="20"/>
        </w:rPr>
        <w:t xml:space="preserve">řízení </w:t>
      </w:r>
      <w:r w:rsidR="00C609B8">
        <w:rPr>
          <w:rFonts w:cs="Arial"/>
          <w:bCs/>
          <w:szCs w:val="20"/>
        </w:rPr>
        <w:t xml:space="preserve">veškerých úvěrových rizik.  </w:t>
      </w:r>
    </w:p>
    <w:p w:rsidR="0051644E" w:rsidRPr="00724797" w:rsidRDefault="00D653ED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Od roku 2012 řídí </w:t>
      </w:r>
      <w:r w:rsidR="00C609B8">
        <w:rPr>
          <w:rFonts w:eastAsia="Times New Roman" w:cs="Arial"/>
          <w:szCs w:val="20"/>
          <w:lang w:eastAsia="cs-CZ"/>
        </w:rPr>
        <w:t xml:space="preserve">úvěrové riziko nejen ve </w:t>
      </w:r>
      <w:proofErr w:type="spellStart"/>
      <w:r w:rsidR="00C609B8">
        <w:rPr>
          <w:rFonts w:eastAsia="Times New Roman" w:cs="Arial"/>
          <w:szCs w:val="20"/>
          <w:lang w:eastAsia="cs-CZ"/>
        </w:rPr>
        <w:t>Sberbank</w:t>
      </w:r>
      <w:proofErr w:type="spellEnd"/>
      <w:r w:rsidR="00C609B8">
        <w:rPr>
          <w:rFonts w:eastAsia="Times New Roman" w:cs="Arial"/>
          <w:szCs w:val="20"/>
          <w:lang w:eastAsia="cs-CZ"/>
        </w:rPr>
        <w:t xml:space="preserve"> CZ, ale </w:t>
      </w:r>
      <w:r>
        <w:rPr>
          <w:rFonts w:eastAsia="Times New Roman" w:cs="Arial"/>
          <w:szCs w:val="20"/>
          <w:lang w:eastAsia="cs-CZ"/>
        </w:rPr>
        <w:t xml:space="preserve">je </w:t>
      </w:r>
      <w:r w:rsidR="00C609B8">
        <w:rPr>
          <w:rFonts w:eastAsia="Times New Roman" w:cs="Arial"/>
          <w:szCs w:val="20"/>
          <w:lang w:eastAsia="cs-CZ"/>
        </w:rPr>
        <w:t xml:space="preserve">zodpovědný také za vedení početného </w:t>
      </w:r>
      <w:r>
        <w:rPr>
          <w:rFonts w:eastAsia="Times New Roman" w:cs="Arial"/>
          <w:szCs w:val="20"/>
          <w:lang w:eastAsia="cs-CZ"/>
        </w:rPr>
        <w:t>týmu kompetenčního</w:t>
      </w:r>
      <w:r w:rsidR="008B0586">
        <w:rPr>
          <w:rFonts w:eastAsia="Times New Roman" w:cs="Arial"/>
          <w:szCs w:val="20"/>
          <w:lang w:eastAsia="cs-CZ"/>
        </w:rPr>
        <w:t xml:space="preserve"> centra</w:t>
      </w:r>
      <w:r w:rsidR="00C609B8">
        <w:rPr>
          <w:rFonts w:eastAsia="Times New Roman" w:cs="Arial"/>
          <w:szCs w:val="20"/>
          <w:lang w:eastAsia="cs-CZ"/>
        </w:rPr>
        <w:t>,</w:t>
      </w:r>
      <w:r w:rsidR="00852DC4">
        <w:rPr>
          <w:rFonts w:eastAsia="Times New Roman" w:cs="Arial"/>
          <w:szCs w:val="20"/>
          <w:lang w:eastAsia="cs-CZ"/>
        </w:rPr>
        <w:t xml:space="preserve"> které </w:t>
      </w:r>
      <w:r w:rsidR="003B6BBA">
        <w:rPr>
          <w:rFonts w:eastAsia="Times New Roman" w:cs="Arial"/>
          <w:szCs w:val="20"/>
          <w:lang w:eastAsia="cs-CZ"/>
        </w:rPr>
        <w:t xml:space="preserve">zpracovává korporátní </w:t>
      </w:r>
      <w:r w:rsidR="008B0586">
        <w:rPr>
          <w:rFonts w:eastAsia="Times New Roman" w:cs="Arial"/>
          <w:szCs w:val="20"/>
          <w:lang w:eastAsia="cs-CZ"/>
        </w:rPr>
        <w:t>úvěrové žádosti pro ostatní země ve skupině</w:t>
      </w:r>
      <w:r w:rsidR="003B6BBA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3B6BBA">
        <w:rPr>
          <w:rFonts w:eastAsia="Times New Roman" w:cs="Arial"/>
          <w:szCs w:val="20"/>
          <w:lang w:eastAsia="cs-CZ"/>
        </w:rPr>
        <w:t>Sberbank</w:t>
      </w:r>
      <w:proofErr w:type="spellEnd"/>
      <w:r w:rsidR="0026507D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26507D">
        <w:rPr>
          <w:rFonts w:eastAsia="Times New Roman" w:cs="Arial"/>
          <w:szCs w:val="20"/>
          <w:lang w:eastAsia="cs-CZ"/>
        </w:rPr>
        <w:t>Europe</w:t>
      </w:r>
      <w:proofErr w:type="spellEnd"/>
      <w:r w:rsidR="008B0586">
        <w:rPr>
          <w:rFonts w:eastAsia="Times New Roman" w:cs="Arial"/>
          <w:szCs w:val="20"/>
          <w:lang w:eastAsia="cs-CZ"/>
        </w:rPr>
        <w:t xml:space="preserve"> jako Rakousko, Slovensko, Maďarsko, Slovinsko, Chorvatsko</w:t>
      </w:r>
      <w:r w:rsidR="0092391E">
        <w:rPr>
          <w:rFonts w:eastAsia="Times New Roman" w:cs="Arial"/>
          <w:szCs w:val="20"/>
          <w:lang w:eastAsia="cs-CZ"/>
        </w:rPr>
        <w:t>.</w:t>
      </w:r>
    </w:p>
    <w:p w:rsidR="0051644E" w:rsidRDefault="008B0586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Jindřich Horníček bude pokračovat v rozvíjení moderních metod řízení rizik a </w:t>
      </w:r>
      <w:r w:rsidR="00BF4708">
        <w:rPr>
          <w:rFonts w:eastAsia="Times New Roman" w:cs="Arial"/>
          <w:szCs w:val="20"/>
          <w:lang w:eastAsia="cs-CZ"/>
        </w:rPr>
        <w:t>imple</w:t>
      </w:r>
      <w:r w:rsidR="00852DC4">
        <w:rPr>
          <w:rFonts w:eastAsia="Times New Roman" w:cs="Arial"/>
          <w:szCs w:val="20"/>
          <w:lang w:eastAsia="cs-CZ"/>
        </w:rPr>
        <w:t xml:space="preserve">mentaci nejnovějších nástrojů </w:t>
      </w:r>
      <w:r w:rsidR="00BF4708">
        <w:rPr>
          <w:rFonts w:eastAsia="Times New Roman" w:cs="Arial"/>
          <w:szCs w:val="20"/>
          <w:lang w:eastAsia="cs-CZ"/>
        </w:rPr>
        <w:t>s cílem zajistit co nejefektivnější management a stabilitu v této pro celou banku velmi důležité</w:t>
      </w:r>
      <w:r w:rsidR="00626C9F">
        <w:rPr>
          <w:rFonts w:eastAsia="Times New Roman" w:cs="Arial"/>
          <w:szCs w:val="20"/>
          <w:lang w:eastAsia="cs-CZ"/>
        </w:rPr>
        <w:t xml:space="preserve"> </w:t>
      </w:r>
      <w:r w:rsidR="00BF4708">
        <w:rPr>
          <w:rFonts w:eastAsia="Times New Roman" w:cs="Arial"/>
          <w:szCs w:val="20"/>
          <w:lang w:eastAsia="cs-CZ"/>
        </w:rPr>
        <w:t>oblasti</w:t>
      </w:r>
      <w:r w:rsidR="00626C9F">
        <w:rPr>
          <w:rFonts w:eastAsia="Times New Roman" w:cs="Arial"/>
          <w:szCs w:val="20"/>
          <w:lang w:eastAsia="cs-CZ"/>
        </w:rPr>
        <w:t>.</w:t>
      </w:r>
      <w:r w:rsidR="00BF4708">
        <w:rPr>
          <w:rFonts w:eastAsia="Times New Roman" w:cs="Arial"/>
          <w:szCs w:val="20"/>
          <w:lang w:eastAsia="cs-CZ"/>
        </w:rPr>
        <w:t xml:space="preserve"> </w:t>
      </w:r>
    </w:p>
    <w:p w:rsidR="0051644E" w:rsidRPr="00724797" w:rsidRDefault="00852DC4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 xml:space="preserve">Jindřich </w:t>
      </w:r>
      <w:r w:rsidR="0051644E" w:rsidRPr="00724797">
        <w:rPr>
          <w:rFonts w:eastAsia="Times New Roman" w:cs="Arial"/>
          <w:szCs w:val="20"/>
          <w:lang w:eastAsia="cs-CZ"/>
        </w:rPr>
        <w:t>je absolventem</w:t>
      </w:r>
      <w:r>
        <w:rPr>
          <w:rFonts w:eastAsia="Times New Roman" w:cs="Arial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szCs w:val="20"/>
          <w:lang w:eastAsia="cs-CZ"/>
        </w:rPr>
        <w:t>Ekonomicko</w:t>
      </w:r>
      <w:proofErr w:type="spellEnd"/>
      <w:r>
        <w:rPr>
          <w:rFonts w:eastAsia="Times New Roman" w:cs="Arial"/>
          <w:szCs w:val="20"/>
          <w:lang w:eastAsia="cs-CZ"/>
        </w:rPr>
        <w:t xml:space="preserve"> – správní fakult</w:t>
      </w:r>
      <w:r w:rsidR="007B61CA">
        <w:rPr>
          <w:rFonts w:eastAsia="Times New Roman" w:cs="Arial"/>
          <w:szCs w:val="20"/>
          <w:lang w:eastAsia="cs-CZ"/>
        </w:rPr>
        <w:t>y Masarykovy univerzity v Brně. H</w:t>
      </w:r>
      <w:r>
        <w:rPr>
          <w:rFonts w:eastAsia="Times New Roman" w:cs="Arial"/>
          <w:szCs w:val="20"/>
          <w:lang w:eastAsia="cs-CZ"/>
        </w:rPr>
        <w:t>ovoří anglicky, německy, francouzsky a rusky</w:t>
      </w:r>
      <w:r w:rsidR="0051644E" w:rsidRPr="00724797">
        <w:rPr>
          <w:rFonts w:eastAsia="Times New Roman" w:cs="Arial"/>
          <w:szCs w:val="20"/>
          <w:lang w:eastAsia="cs-CZ"/>
        </w:rPr>
        <w:t>. Mezi jeho záliby patří</w:t>
      </w:r>
      <w:r>
        <w:rPr>
          <w:rFonts w:eastAsia="Times New Roman" w:cs="Arial"/>
          <w:szCs w:val="20"/>
          <w:lang w:eastAsia="cs-CZ"/>
        </w:rPr>
        <w:t xml:space="preserve"> golf, lyžování a turistika.</w:t>
      </w:r>
    </w:p>
    <w:p w:rsidR="00491261" w:rsidRDefault="006257CE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 w:rsidRPr="00890D75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51644E" w:rsidRPr="00890D75">
        <w:rPr>
          <w:rFonts w:eastAsia="Times New Roman" w:cs="Arial"/>
          <w:i/>
          <w:iCs/>
          <w:szCs w:val="20"/>
          <w:lang w:eastAsia="cs-CZ"/>
        </w:rPr>
        <w:t>„</w:t>
      </w:r>
      <w:r w:rsidR="003B6BBA">
        <w:rPr>
          <w:rFonts w:eastAsia="Times New Roman" w:cs="Arial"/>
          <w:i/>
          <w:iCs/>
          <w:szCs w:val="20"/>
          <w:lang w:eastAsia="cs-CZ"/>
        </w:rPr>
        <w:t xml:space="preserve">V oblasti řízení rizik došlo v uplynulých dvou letech k úspěšné transformaci ve všech klíčových oblastech. </w:t>
      </w:r>
      <w:r w:rsidR="001009CF">
        <w:rPr>
          <w:rFonts w:eastAsia="Times New Roman" w:cs="Arial"/>
          <w:i/>
          <w:iCs/>
          <w:szCs w:val="20"/>
          <w:lang w:eastAsia="cs-CZ"/>
        </w:rPr>
        <w:t>Kontinuálně se nám daří snižovat podíl pohledávek v selhání</w:t>
      </w:r>
      <w:r w:rsidR="00256636">
        <w:rPr>
          <w:rFonts w:eastAsia="Times New Roman" w:cs="Arial"/>
          <w:i/>
          <w:iCs/>
          <w:szCs w:val="20"/>
          <w:lang w:eastAsia="cs-CZ"/>
        </w:rPr>
        <w:t xml:space="preserve"> na celkovém úvěrovém portfoliu a zlepšovat všechny stěžejní ukazatele řízení rizika.</w:t>
      </w:r>
      <w:r w:rsidR="007B61CA">
        <w:rPr>
          <w:rFonts w:eastAsia="Times New Roman" w:cs="Arial"/>
          <w:i/>
          <w:iCs/>
          <w:szCs w:val="20"/>
          <w:lang w:eastAsia="cs-CZ"/>
        </w:rPr>
        <w:t xml:space="preserve"> Příchod Jindřicha Horníčka do představenstva b</w:t>
      </w:r>
      <w:r w:rsidR="00256636">
        <w:rPr>
          <w:rFonts w:eastAsia="Times New Roman" w:cs="Arial"/>
          <w:i/>
          <w:iCs/>
          <w:szCs w:val="20"/>
          <w:lang w:eastAsia="cs-CZ"/>
        </w:rPr>
        <w:t xml:space="preserve">anky potvrzuje důvěru akcionáře ve stávající </w:t>
      </w:r>
      <w:r w:rsidR="007B61CA">
        <w:rPr>
          <w:rFonts w:eastAsia="Times New Roman" w:cs="Arial"/>
          <w:i/>
          <w:iCs/>
          <w:szCs w:val="20"/>
          <w:lang w:eastAsia="cs-CZ"/>
        </w:rPr>
        <w:t xml:space="preserve">management </w:t>
      </w:r>
      <w:r w:rsidR="00256636">
        <w:rPr>
          <w:rFonts w:eastAsia="Times New Roman" w:cs="Arial"/>
          <w:i/>
          <w:iCs/>
          <w:szCs w:val="20"/>
          <w:lang w:eastAsia="cs-CZ"/>
        </w:rPr>
        <w:t xml:space="preserve">a ocenění </w:t>
      </w:r>
      <w:r w:rsidR="00D653ED">
        <w:rPr>
          <w:rFonts w:eastAsia="Times New Roman" w:cs="Arial"/>
          <w:i/>
          <w:iCs/>
          <w:szCs w:val="20"/>
          <w:lang w:eastAsia="cs-CZ"/>
        </w:rPr>
        <w:t>jeho dosavadní činnosti</w:t>
      </w:r>
      <w:r w:rsidR="00491261">
        <w:rPr>
          <w:rFonts w:eastAsia="Times New Roman" w:cs="Arial"/>
          <w:i/>
          <w:iCs/>
          <w:szCs w:val="20"/>
          <w:lang w:eastAsia="cs-CZ"/>
        </w:rPr>
        <w:t xml:space="preserve">,“ </w:t>
      </w:r>
      <w:r w:rsidR="00491261">
        <w:rPr>
          <w:rFonts w:eastAsia="Times New Roman" w:cs="Arial"/>
          <w:iCs/>
          <w:szCs w:val="20"/>
          <w:lang w:eastAsia="cs-CZ"/>
        </w:rPr>
        <w:t>uvedl</w:t>
      </w:r>
      <w:r w:rsidR="0051644E" w:rsidRPr="00724797">
        <w:rPr>
          <w:rFonts w:eastAsia="Times New Roman" w:cs="Arial"/>
          <w:szCs w:val="20"/>
          <w:lang w:eastAsia="cs-CZ"/>
        </w:rPr>
        <w:t xml:space="preserve"> </w:t>
      </w:r>
      <w:r w:rsidR="002E2E37">
        <w:rPr>
          <w:rFonts w:eastAsia="Times New Roman" w:cs="Arial"/>
          <w:szCs w:val="20"/>
          <w:lang w:eastAsia="cs-CZ"/>
        </w:rPr>
        <w:t>Vladimír Šolc</w:t>
      </w:r>
      <w:r w:rsidR="0051644E" w:rsidRPr="00724797">
        <w:rPr>
          <w:rFonts w:eastAsia="Times New Roman" w:cs="Arial"/>
          <w:szCs w:val="20"/>
          <w:lang w:eastAsia="cs-CZ"/>
        </w:rPr>
        <w:t xml:space="preserve">, </w:t>
      </w:r>
      <w:r w:rsidR="002E2E37">
        <w:rPr>
          <w:rFonts w:eastAsia="Times New Roman" w:cs="Arial"/>
          <w:szCs w:val="20"/>
          <w:lang w:eastAsia="cs-CZ"/>
        </w:rPr>
        <w:t>generální ředitel</w:t>
      </w:r>
      <w:r w:rsidR="0051644E" w:rsidRPr="00724797">
        <w:rPr>
          <w:rFonts w:eastAsia="Times New Roman" w:cs="Arial"/>
          <w:szCs w:val="20"/>
          <w:lang w:eastAsia="cs-CZ"/>
        </w:rPr>
        <w:t xml:space="preserve"> </w:t>
      </w:r>
      <w:proofErr w:type="spellStart"/>
      <w:r w:rsidR="0051644E"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="0051644E" w:rsidRPr="00724797">
        <w:rPr>
          <w:rFonts w:eastAsia="Times New Roman" w:cs="Arial"/>
          <w:szCs w:val="20"/>
          <w:lang w:eastAsia="cs-CZ"/>
        </w:rPr>
        <w:t xml:space="preserve"> CZ</w:t>
      </w:r>
      <w:r w:rsidR="007B61CA">
        <w:rPr>
          <w:rFonts w:eastAsia="Times New Roman" w:cs="Arial"/>
          <w:szCs w:val="20"/>
          <w:lang w:eastAsia="cs-CZ"/>
        </w:rPr>
        <w:t xml:space="preserve">. </w:t>
      </w:r>
    </w:p>
    <w:p w:rsidR="00623156" w:rsidRDefault="00D653ED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Dosavadní člen představenstva</w:t>
      </w:r>
      <w:r w:rsidR="00623156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o</w:t>
      </w:r>
      <w:r w:rsidR="00623156">
        <w:rPr>
          <w:rFonts w:eastAsia="Times New Roman" w:cs="Arial"/>
          <w:szCs w:val="20"/>
          <w:lang w:eastAsia="cs-CZ"/>
        </w:rPr>
        <w:t>d</w:t>
      </w:r>
      <w:r>
        <w:rPr>
          <w:rFonts w:eastAsia="Times New Roman" w:cs="Arial"/>
          <w:szCs w:val="20"/>
          <w:lang w:eastAsia="cs-CZ"/>
        </w:rPr>
        <w:t xml:space="preserve">povědný za řízení rizik Martin </w:t>
      </w:r>
      <w:proofErr w:type="spellStart"/>
      <w:r>
        <w:rPr>
          <w:rFonts w:eastAsia="Times New Roman" w:cs="Arial"/>
          <w:szCs w:val="20"/>
          <w:lang w:eastAsia="cs-CZ"/>
        </w:rPr>
        <w:t>Muránsky</w:t>
      </w:r>
      <w:proofErr w:type="spellEnd"/>
      <w:r w:rsidR="00623156">
        <w:rPr>
          <w:rFonts w:eastAsia="Times New Roman" w:cs="Arial"/>
          <w:szCs w:val="20"/>
          <w:lang w:eastAsia="cs-CZ"/>
        </w:rPr>
        <w:t xml:space="preserve"> ukončil své působení ve </w:t>
      </w:r>
      <w:proofErr w:type="spellStart"/>
      <w:r w:rsidR="00623156">
        <w:rPr>
          <w:rFonts w:eastAsia="Times New Roman" w:cs="Arial"/>
          <w:szCs w:val="20"/>
          <w:lang w:eastAsia="cs-CZ"/>
        </w:rPr>
        <w:t>Sberbank</w:t>
      </w:r>
      <w:proofErr w:type="spellEnd"/>
      <w:r w:rsidR="00623156">
        <w:rPr>
          <w:rFonts w:eastAsia="Times New Roman" w:cs="Arial"/>
          <w:szCs w:val="20"/>
          <w:lang w:eastAsia="cs-CZ"/>
        </w:rPr>
        <w:t xml:space="preserve"> ke konci roku 2015. </w:t>
      </w:r>
    </w:p>
    <w:p w:rsidR="0026507D" w:rsidRDefault="0026507D" w:rsidP="0051644E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</w:p>
    <w:p w:rsidR="00491261" w:rsidRPr="00C327E2" w:rsidRDefault="00491261" w:rsidP="00491261">
      <w:p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Hana Drápalová</w:t>
      </w:r>
    </w:p>
    <w:p w:rsidR="00491261" w:rsidRPr="003041CC" w:rsidRDefault="00491261" w:rsidP="00491261">
      <w:pPr>
        <w:tabs>
          <w:tab w:val="left" w:pos="5103"/>
        </w:tabs>
        <w:spacing w:after="0"/>
        <w:rPr>
          <w:rFonts w:cs="Arial"/>
          <w:szCs w:val="20"/>
        </w:rPr>
      </w:pPr>
      <w:r w:rsidRPr="003041CC">
        <w:rPr>
          <w:rFonts w:cs="Arial"/>
          <w:szCs w:val="20"/>
        </w:rPr>
        <w:t xml:space="preserve">Tiskové oddělení </w:t>
      </w:r>
      <w:proofErr w:type="spellStart"/>
      <w:r w:rsidRPr="003041CC">
        <w:rPr>
          <w:rFonts w:cs="Arial"/>
          <w:szCs w:val="20"/>
        </w:rPr>
        <w:t>Sberbank</w:t>
      </w:r>
      <w:proofErr w:type="spellEnd"/>
      <w:r w:rsidRPr="003041CC">
        <w:rPr>
          <w:rFonts w:cs="Arial"/>
          <w:szCs w:val="20"/>
        </w:rPr>
        <w:t xml:space="preserve"> CZ, a.s.</w:t>
      </w:r>
    </w:p>
    <w:p w:rsidR="00491261" w:rsidRPr="003041CC" w:rsidRDefault="00491261" w:rsidP="00491261">
      <w:pPr>
        <w:tabs>
          <w:tab w:val="left" w:pos="510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Tel.: </w:t>
      </w:r>
      <w:r w:rsidRPr="00C11527">
        <w:rPr>
          <w:rFonts w:cs="Arial"/>
          <w:szCs w:val="20"/>
          <w:lang w:eastAsia="cs-CZ"/>
        </w:rPr>
        <w:t>234 706 837</w:t>
      </w:r>
      <w:r w:rsidRPr="00C11527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724 012 617</w:t>
      </w:r>
      <w:r w:rsidRPr="003041CC">
        <w:rPr>
          <w:rFonts w:cs="Arial"/>
          <w:szCs w:val="20"/>
        </w:rPr>
        <w:t> </w:t>
      </w:r>
    </w:p>
    <w:p w:rsidR="00491261" w:rsidRPr="003041CC" w:rsidRDefault="00491261" w:rsidP="00491261">
      <w:pPr>
        <w:tabs>
          <w:tab w:val="left" w:pos="5103"/>
        </w:tabs>
        <w:spacing w:after="0"/>
        <w:ind w:right="-108"/>
        <w:rPr>
          <w:rFonts w:cs="Arial"/>
          <w:szCs w:val="20"/>
        </w:rPr>
      </w:pPr>
      <w:r w:rsidRPr="003041CC">
        <w:rPr>
          <w:rFonts w:cs="Arial"/>
          <w:b/>
          <w:szCs w:val="20"/>
        </w:rPr>
        <w:t>E-mail:</w:t>
      </w:r>
      <w:r>
        <w:rPr>
          <w:rFonts w:cs="Arial"/>
          <w:szCs w:val="20"/>
        </w:rPr>
        <w:t xml:space="preserve"> drapalov</w:t>
      </w:r>
      <w:r w:rsidR="00136935">
        <w:rPr>
          <w:rFonts w:cs="Arial"/>
          <w:szCs w:val="20"/>
        </w:rPr>
        <w:t>a</w:t>
      </w:r>
      <w:r>
        <w:rPr>
          <w:rFonts w:cs="Arial"/>
          <w:szCs w:val="20"/>
        </w:rPr>
        <w:t>.hana</w:t>
      </w:r>
      <w:r w:rsidRPr="003041CC">
        <w:rPr>
          <w:rFonts w:cs="Arial"/>
          <w:szCs w:val="20"/>
        </w:rPr>
        <w:t>@sberbankcz.cz</w:t>
      </w:r>
    </w:p>
    <w:p w:rsidR="00491261" w:rsidRPr="003041CC" w:rsidRDefault="00195D12" w:rsidP="00491261">
      <w:pPr>
        <w:tabs>
          <w:tab w:val="left" w:pos="5103"/>
        </w:tabs>
        <w:contextualSpacing/>
        <w:rPr>
          <w:rFonts w:cs="Arial"/>
          <w:b/>
          <w:color w:val="00703C"/>
          <w:szCs w:val="20"/>
        </w:rPr>
      </w:pPr>
      <w:hyperlink r:id="rId6" w:history="1">
        <w:r w:rsidR="00491261" w:rsidRPr="003600D5">
          <w:rPr>
            <w:rStyle w:val="Hypertextovodkaz"/>
            <w:b/>
            <w:szCs w:val="20"/>
          </w:rPr>
          <w:t>www.Sberbank.cz</w:t>
        </w:r>
      </w:hyperlink>
      <w:hyperlink r:id="rId7" w:history="1"/>
    </w:p>
    <w:p w:rsidR="00491261" w:rsidRDefault="00195D12" w:rsidP="00491261">
      <w:pPr>
        <w:spacing w:after="0"/>
        <w:jc w:val="both"/>
        <w:rPr>
          <w:rFonts w:cs="Arial"/>
          <w:szCs w:val="20"/>
        </w:rPr>
      </w:pPr>
      <w:r>
        <w:rPr>
          <w:noProof/>
          <w:lang w:eastAsia="cs-CZ"/>
        </w:rPr>
        <w:pict>
          <v:line id="Line 7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Hw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" strokecolor="#a5a5a5"/>
        </w:pict>
      </w:r>
    </w:p>
    <w:p w:rsidR="00491261" w:rsidRPr="00491261" w:rsidRDefault="00491261" w:rsidP="00491261">
      <w:pPr>
        <w:spacing w:after="0"/>
        <w:jc w:val="both"/>
        <w:rPr>
          <w:rFonts w:cs="Arial"/>
          <w:szCs w:val="20"/>
        </w:rPr>
      </w:pPr>
      <w:r>
        <w:rPr>
          <w:rFonts w:cs="Arial"/>
          <w:b/>
          <w:bCs/>
          <w:color w:val="008000"/>
          <w:sz w:val="18"/>
          <w:szCs w:val="18"/>
        </w:rPr>
        <w:t xml:space="preserve">O společnosti </w:t>
      </w:r>
      <w:proofErr w:type="spellStart"/>
      <w:r w:rsidRPr="00A8599D">
        <w:rPr>
          <w:rFonts w:cs="Arial"/>
          <w:b/>
          <w:bCs/>
          <w:color w:val="008000"/>
          <w:sz w:val="18"/>
          <w:szCs w:val="18"/>
        </w:rPr>
        <w:t>Sberbank</w:t>
      </w:r>
      <w:proofErr w:type="spellEnd"/>
      <w:r w:rsidRPr="00A8599D">
        <w:rPr>
          <w:rFonts w:cs="Arial"/>
          <w:b/>
          <w:bCs/>
          <w:color w:val="008000"/>
          <w:sz w:val="18"/>
          <w:szCs w:val="18"/>
        </w:rPr>
        <w:t xml:space="preserve"> CZ, a.s.</w:t>
      </w:r>
    </w:p>
    <w:p w:rsidR="00491261" w:rsidRPr="00096DB7" w:rsidRDefault="00491261" w:rsidP="00491261">
      <w:pPr>
        <w:pStyle w:val="Bezmezer1"/>
        <w:spacing w:after="240" w:line="276" w:lineRule="auto"/>
        <w:jc w:val="both"/>
        <w:rPr>
          <w:rFonts w:ascii="Arial" w:hAnsi="Arial" w:cs="Arial"/>
          <w:b/>
          <w:color w:val="008000"/>
          <w:sz w:val="17"/>
          <w:szCs w:val="17"/>
        </w:rPr>
      </w:pPr>
      <w:r w:rsidRPr="00A8599D">
        <w:rPr>
          <w:rFonts w:ascii="Arial" w:hAnsi="Arial" w:cs="Arial"/>
          <w:color w:val="008000"/>
          <w:sz w:val="17"/>
          <w:szCs w:val="17"/>
        </w:rPr>
        <w:t xml:space="preserve">Na českém trhu působí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CZ již od roku 1993, o</w:t>
      </w:r>
      <w:r>
        <w:rPr>
          <w:rFonts w:ascii="Arial" w:hAnsi="Arial" w:cs="Arial"/>
          <w:color w:val="008000"/>
          <w:sz w:val="17"/>
          <w:szCs w:val="17"/>
        </w:rPr>
        <w:t xml:space="preserve">d 1. ledna 1997 jako samostatná </w:t>
      </w:r>
      <w:r w:rsidRPr="00A8599D">
        <w:rPr>
          <w:rFonts w:ascii="Arial" w:hAnsi="Arial" w:cs="Arial"/>
          <w:color w:val="008000"/>
          <w:sz w:val="17"/>
          <w:szCs w:val="17"/>
        </w:rPr>
        <w:t xml:space="preserve">akciová společnost. Jejím majoritním vlastníkem je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AG. </w:t>
      </w:r>
      <w:proofErr w:type="spellStart"/>
      <w:r w:rsidRPr="00A8599D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A8599D">
        <w:rPr>
          <w:rFonts w:ascii="Arial" w:hAnsi="Arial" w:cs="Arial"/>
          <w:color w:val="008000"/>
          <w:sz w:val="17"/>
          <w:szCs w:val="17"/>
        </w:rPr>
        <w:t xml:space="preserve"> CZ je obchodní bankou se širokou nabídkou finančních produktů a služeb pro privátní </w:t>
      </w:r>
      <w:r>
        <w:rPr>
          <w:rFonts w:ascii="Arial" w:hAnsi="Arial" w:cs="Arial"/>
          <w:color w:val="008000"/>
          <w:sz w:val="17"/>
          <w:szCs w:val="17"/>
        </w:rPr>
        <w:br/>
      </w:r>
      <w:r w:rsidRPr="00A8599D">
        <w:rPr>
          <w:rFonts w:ascii="Arial" w:hAnsi="Arial" w:cs="Arial"/>
          <w:color w:val="008000"/>
          <w:sz w:val="17"/>
          <w:szCs w:val="17"/>
        </w:rPr>
        <w:lastRenderedPageBreak/>
        <w:t xml:space="preserve">i firemní klientelu. </w:t>
      </w:r>
      <w:r>
        <w:rPr>
          <w:rFonts w:ascii="Arial" w:hAnsi="Arial" w:cs="Arial"/>
          <w:color w:val="008000"/>
          <w:sz w:val="17"/>
          <w:szCs w:val="17"/>
        </w:rPr>
        <w:t xml:space="preserve">Může se pochlubit třetím místem v soutěži </w:t>
      </w:r>
      <w:r w:rsidRPr="00EC105B">
        <w:rPr>
          <w:rFonts w:ascii="Arial" w:hAnsi="Arial" w:cs="Arial"/>
          <w:b/>
          <w:color w:val="008000"/>
          <w:sz w:val="17"/>
          <w:szCs w:val="17"/>
        </w:rPr>
        <w:t>Klientsky</w:t>
      </w:r>
      <w:r>
        <w:rPr>
          <w:rFonts w:ascii="Arial" w:hAnsi="Arial" w:cs="Arial"/>
          <w:b/>
          <w:color w:val="008000"/>
          <w:sz w:val="17"/>
          <w:szCs w:val="17"/>
        </w:rPr>
        <w:t xml:space="preserve"> nejpřívětivější banka roku 2015 </w:t>
      </w:r>
      <w:r w:rsidRPr="00DA68DB">
        <w:rPr>
          <w:rFonts w:ascii="Arial" w:hAnsi="Arial" w:cs="Arial"/>
          <w:color w:val="008000"/>
          <w:sz w:val="17"/>
          <w:szCs w:val="17"/>
        </w:rPr>
        <w:t xml:space="preserve">a </w:t>
      </w:r>
      <w:r>
        <w:rPr>
          <w:rFonts w:ascii="Arial" w:hAnsi="Arial" w:cs="Arial"/>
          <w:color w:val="008000"/>
          <w:sz w:val="17"/>
          <w:szCs w:val="17"/>
        </w:rPr>
        <w:t xml:space="preserve">spořicí účet byl oceněn jako </w:t>
      </w:r>
      <w:r w:rsidRPr="00DA68DB">
        <w:rPr>
          <w:rFonts w:ascii="Arial" w:hAnsi="Arial" w:cs="Arial"/>
          <w:b/>
          <w:color w:val="008000"/>
          <w:sz w:val="17"/>
          <w:szCs w:val="17"/>
        </w:rPr>
        <w:t>Nejlepší finanční produkt roku 2014</w:t>
      </w:r>
      <w:r>
        <w:rPr>
          <w:rFonts w:ascii="Arial" w:hAnsi="Arial" w:cs="Arial"/>
          <w:color w:val="008000"/>
          <w:sz w:val="17"/>
          <w:szCs w:val="17"/>
        </w:rPr>
        <w:t>.</w:t>
      </w:r>
    </w:p>
    <w:p w:rsidR="00382B9D" w:rsidRDefault="00195D12" w:rsidP="00382B9D">
      <w:pPr>
        <w:spacing w:after="0" w:line="240" w:lineRule="auto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0;margin-top:220.95pt;width:507.35pt;height:1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" filled="f" stroked="f">
            <v:textbox inset="0,0,0,0">
              <w:txbxContent>
                <w:p w:rsidR="00D653ED" w:rsidRPr="0051644E" w:rsidRDefault="00D653ED" w:rsidP="0051644E">
                  <w:pPr>
                    <w:rPr>
                      <w:szCs w:val="24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sectPr w:rsidR="00382B9D" w:rsidSect="00612EAB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12" w:rsidRDefault="00195D12" w:rsidP="007A3AA0">
      <w:pPr>
        <w:spacing w:after="0" w:line="240" w:lineRule="auto"/>
      </w:pPr>
      <w:r>
        <w:separator/>
      </w:r>
    </w:p>
  </w:endnote>
  <w:endnote w:type="continuationSeparator" w:id="0">
    <w:p w:rsidR="00195D12" w:rsidRDefault="00195D12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ED" w:rsidRPr="00221EBE" w:rsidRDefault="00D653ED" w:rsidP="00221EBE">
    <w:pPr>
      <w:pStyle w:val="Zpat"/>
    </w:pPr>
    <w:proofErr w:type="spellStart"/>
    <w:r>
      <w:rPr>
        <w:sz w:val="12"/>
        <w:szCs w:val="12"/>
      </w:rPr>
      <w:t>Sberbank</w:t>
    </w:r>
    <w:proofErr w:type="spellEnd"/>
    <w:r>
      <w:rPr>
        <w:sz w:val="12"/>
        <w:szCs w:val="12"/>
      </w:rPr>
      <w:t xml:space="preserve"> CZ, a.s. je zapsaná v obchodním rejstříku vedeném Městským soudem v Praze, spisová značka B 4353.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12" w:rsidRDefault="00195D12" w:rsidP="007A3AA0">
      <w:pPr>
        <w:spacing w:after="0" w:line="240" w:lineRule="auto"/>
      </w:pPr>
      <w:r>
        <w:separator/>
      </w:r>
    </w:p>
  </w:footnote>
  <w:footnote w:type="continuationSeparator" w:id="0">
    <w:p w:rsidR="00195D12" w:rsidRDefault="00195D12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ED" w:rsidRPr="007A3AA0" w:rsidRDefault="00D653ED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19050" t="0" r="254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9290" cy="669290"/>
          <wp:effectExtent l="19050" t="0" r="0" b="0"/>
          <wp:wrapNone/>
          <wp:docPr id="18" name="obrázek 18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53ED" w:rsidRPr="00AB7E9D" w:rsidRDefault="00D653ED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19050" t="0" r="5715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5825490</wp:posOffset>
          </wp:positionH>
          <wp:positionV relativeFrom="page">
            <wp:posOffset>568960</wp:posOffset>
          </wp:positionV>
          <wp:extent cx="669290" cy="673100"/>
          <wp:effectExtent l="1905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5033645</wp:posOffset>
          </wp:positionH>
          <wp:positionV relativeFrom="page">
            <wp:posOffset>568960</wp:posOffset>
          </wp:positionV>
          <wp:extent cx="673100" cy="673100"/>
          <wp:effectExtent l="1905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12">
      <w:rPr>
        <w:noProof/>
        <w:lang w:eastAsia="cs-CZ"/>
      </w:rPr>
      <w:pict>
        <v:line id="Přímá spojnice 3" o:spid="_x0000_s2049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<o:lock v:ext="edit" shapetype="f"/>
          <w10:wrap anchory="page"/>
          <w10:anchorlock/>
        </v:line>
      </w:pict>
    </w:r>
    <w:proofErr w:type="spellStart"/>
    <w:r w:rsidRPr="00AB7E9D">
      <w:rPr>
        <w:rFonts w:cs="Arial"/>
        <w:sz w:val="15"/>
        <w:szCs w:val="15"/>
      </w:rPr>
      <w:t>Sberbank</w:t>
    </w:r>
    <w:proofErr w:type="spellEnd"/>
    <w:r w:rsidRPr="00AB7E9D">
      <w:rPr>
        <w:rFonts w:cs="Arial"/>
        <w:sz w:val="15"/>
        <w:szCs w:val="15"/>
      </w:rPr>
      <w:t xml:space="preserve"> CZ, a.s.</w:t>
    </w:r>
  </w:p>
  <w:p w:rsidR="00136935" w:rsidRPr="00AB7E9D" w:rsidRDefault="00136935" w:rsidP="0013693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Pr="00AB7E9D">
      <w:rPr>
        <w:rFonts w:cs="Arial"/>
        <w:sz w:val="15"/>
        <w:szCs w:val="15"/>
      </w:rPr>
      <w:t>, Česká republika</w:t>
    </w:r>
  </w:p>
  <w:p w:rsidR="00136935" w:rsidRPr="00AB7E9D" w:rsidRDefault="00136935" w:rsidP="00136935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:rsidR="00136935" w:rsidRPr="00AB7E9D" w:rsidRDefault="00136935" w:rsidP="00136935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:rsidR="00136935" w:rsidRPr="00AB7E9D" w:rsidRDefault="00136935" w:rsidP="00136935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:rsidR="00136935" w:rsidRDefault="00136935" w:rsidP="00136935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442C94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51644E">
    <w:pPr>
      <w:pStyle w:val="Zhlav"/>
      <w:spacing w:line="180" w:lineRule="exact"/>
      <w:rPr>
        <w:rFonts w:cs="Arial"/>
        <w:sz w:val="15"/>
        <w:szCs w:val="15"/>
      </w:rPr>
    </w:pPr>
  </w:p>
  <w:p w:rsidR="00D653ED" w:rsidRDefault="00D653ED" w:rsidP="0051644E">
    <w:pPr>
      <w:pStyle w:val="Zhlav"/>
      <w:spacing w:line="520" w:lineRule="exact"/>
      <w:rPr>
        <w:rFonts w:cs="Arial"/>
        <w:spacing w:val="-10"/>
        <w:sz w:val="48"/>
        <w:szCs w:val="52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3850005</wp:posOffset>
          </wp:positionV>
          <wp:extent cx="7543800" cy="4903470"/>
          <wp:effectExtent l="19050" t="0" r="0" b="0"/>
          <wp:wrapNone/>
          <wp:docPr id="2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90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20B4">
      <w:rPr>
        <w:rFonts w:cs="Arial"/>
        <w:spacing w:val="-10"/>
        <w:sz w:val="48"/>
        <w:szCs w:val="52"/>
      </w:rPr>
      <w:t>TISKOVÁ ZPRÁVA</w:t>
    </w:r>
  </w:p>
  <w:p w:rsidR="00D653ED" w:rsidRPr="00BE20B4" w:rsidRDefault="00D653ED" w:rsidP="0051644E">
    <w:pPr>
      <w:pStyle w:val="Zhlav"/>
      <w:spacing w:line="520" w:lineRule="exact"/>
      <w:rPr>
        <w:rFonts w:cs="Arial"/>
        <w:spacing w:val="-10"/>
        <w:sz w:val="48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DA"/>
    <w:rsid w:val="000225C8"/>
    <w:rsid w:val="00067E1D"/>
    <w:rsid w:val="0009791D"/>
    <w:rsid w:val="000D208B"/>
    <w:rsid w:val="001009CF"/>
    <w:rsid w:val="00105D43"/>
    <w:rsid w:val="00122711"/>
    <w:rsid w:val="00131861"/>
    <w:rsid w:val="00136935"/>
    <w:rsid w:val="00176117"/>
    <w:rsid w:val="00191EA7"/>
    <w:rsid w:val="00195D12"/>
    <w:rsid w:val="001C7A49"/>
    <w:rsid w:val="001F08C8"/>
    <w:rsid w:val="001F1F52"/>
    <w:rsid w:val="00221EBE"/>
    <w:rsid w:val="00256636"/>
    <w:rsid w:val="0026507D"/>
    <w:rsid w:val="002A35E6"/>
    <w:rsid w:val="002C74D7"/>
    <w:rsid w:val="002E2E37"/>
    <w:rsid w:val="00300BD7"/>
    <w:rsid w:val="00341AFD"/>
    <w:rsid w:val="00381BB3"/>
    <w:rsid w:val="00382B9D"/>
    <w:rsid w:val="00395963"/>
    <w:rsid w:val="003B6BBA"/>
    <w:rsid w:val="00442C94"/>
    <w:rsid w:val="00482531"/>
    <w:rsid w:val="00491261"/>
    <w:rsid w:val="005019A5"/>
    <w:rsid w:val="00512FCE"/>
    <w:rsid w:val="0051644E"/>
    <w:rsid w:val="005335DD"/>
    <w:rsid w:val="005339DC"/>
    <w:rsid w:val="005E2106"/>
    <w:rsid w:val="005E30A5"/>
    <w:rsid w:val="00612EAB"/>
    <w:rsid w:val="00617283"/>
    <w:rsid w:val="00623156"/>
    <w:rsid w:val="006257CE"/>
    <w:rsid w:val="00626C9F"/>
    <w:rsid w:val="00637EA0"/>
    <w:rsid w:val="006C157A"/>
    <w:rsid w:val="00743983"/>
    <w:rsid w:val="00785133"/>
    <w:rsid w:val="007A0499"/>
    <w:rsid w:val="007A3AA0"/>
    <w:rsid w:val="007A4902"/>
    <w:rsid w:val="007B61CA"/>
    <w:rsid w:val="00850956"/>
    <w:rsid w:val="00852DC4"/>
    <w:rsid w:val="00861BCE"/>
    <w:rsid w:val="008B0586"/>
    <w:rsid w:val="0092391E"/>
    <w:rsid w:val="00947359"/>
    <w:rsid w:val="009A171E"/>
    <w:rsid w:val="00A0070F"/>
    <w:rsid w:val="00A47BC4"/>
    <w:rsid w:val="00A7133B"/>
    <w:rsid w:val="00AA6ED2"/>
    <w:rsid w:val="00AB19DF"/>
    <w:rsid w:val="00AB7E9D"/>
    <w:rsid w:val="00AE084E"/>
    <w:rsid w:val="00B4366E"/>
    <w:rsid w:val="00BD52CB"/>
    <w:rsid w:val="00BF4708"/>
    <w:rsid w:val="00C466B1"/>
    <w:rsid w:val="00C47B90"/>
    <w:rsid w:val="00C5550B"/>
    <w:rsid w:val="00C609B8"/>
    <w:rsid w:val="00C84BFC"/>
    <w:rsid w:val="00D653ED"/>
    <w:rsid w:val="00D66D9B"/>
    <w:rsid w:val="00D7603C"/>
    <w:rsid w:val="00DC390C"/>
    <w:rsid w:val="00DD45A4"/>
    <w:rsid w:val="00DD4DEA"/>
    <w:rsid w:val="00E131BD"/>
    <w:rsid w:val="00E163A1"/>
    <w:rsid w:val="00E412CC"/>
    <w:rsid w:val="00E70699"/>
    <w:rsid w:val="00E86163"/>
    <w:rsid w:val="00EA2975"/>
    <w:rsid w:val="00ED3EB8"/>
    <w:rsid w:val="00EF36FA"/>
    <w:rsid w:val="00F01F56"/>
    <w:rsid w:val="00F44D63"/>
    <w:rsid w:val="00F670DA"/>
    <w:rsid w:val="00F9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F1E504"/>
  <w15:docId w15:val="{D68A7839-7197-4463-880B-3472645F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644E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019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19A5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19A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19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19A5"/>
    <w:rPr>
      <w:rFonts w:ascii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rsid w:val="00491261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4912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CZ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erbank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Vlasta Holeciova</cp:lastModifiedBy>
  <cp:revision>7</cp:revision>
  <dcterms:created xsi:type="dcterms:W3CDTF">2016-01-14T13:53:00Z</dcterms:created>
  <dcterms:modified xsi:type="dcterms:W3CDTF">2016-02-01T12:16:00Z</dcterms:modified>
</cp:coreProperties>
</file>