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CBE9" w14:textId="77777777" w:rsidR="00382B9D" w:rsidRPr="00DB3B52" w:rsidRDefault="00382B9D" w:rsidP="00F84DCC">
      <w:pPr>
        <w:spacing w:after="0" w:line="240" w:lineRule="auto"/>
        <w:jc w:val="both"/>
        <w:rPr>
          <w:sz w:val="24"/>
          <w:szCs w:val="24"/>
        </w:rPr>
      </w:pPr>
    </w:p>
    <w:p w14:paraId="64B586C9" w14:textId="289C6875" w:rsidR="00DB3B52" w:rsidRPr="00DB3B52" w:rsidRDefault="00512A69" w:rsidP="00DB3B52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Sberbank </w:t>
      </w:r>
      <w:r w:rsidR="00DB3B52" w:rsidRPr="00DB3B52">
        <w:rPr>
          <w:rFonts w:cs="Arial"/>
          <w:b/>
          <w:sz w:val="24"/>
          <w:szCs w:val="24"/>
        </w:rPr>
        <w:t>získala druhé místo v hodnocení Zelená banka 2016</w:t>
      </w:r>
    </w:p>
    <w:p w14:paraId="728927AE" w14:textId="623B4E2B" w:rsidR="00DB3B52" w:rsidRPr="00DB3B52" w:rsidRDefault="00836A71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DB3B52">
        <w:rPr>
          <w:rFonts w:cs="Arial"/>
          <w:b/>
          <w:szCs w:val="20"/>
        </w:rPr>
        <w:t xml:space="preserve">Praha, </w:t>
      </w:r>
      <w:r w:rsidR="00DB3B52" w:rsidRPr="00DB3B52">
        <w:rPr>
          <w:rFonts w:cs="Arial"/>
          <w:b/>
          <w:szCs w:val="20"/>
        </w:rPr>
        <w:t>7</w:t>
      </w:r>
      <w:r w:rsidR="00136456" w:rsidRPr="00DB3B52">
        <w:rPr>
          <w:rFonts w:cs="Arial"/>
          <w:b/>
          <w:szCs w:val="20"/>
        </w:rPr>
        <w:t>.</w:t>
      </w:r>
      <w:r w:rsidR="00DE7B8D" w:rsidRPr="00DB3B52">
        <w:rPr>
          <w:rFonts w:cs="Arial"/>
          <w:b/>
          <w:szCs w:val="20"/>
        </w:rPr>
        <w:t xml:space="preserve"> února</w:t>
      </w:r>
      <w:r w:rsidRPr="00DB3B52">
        <w:rPr>
          <w:rFonts w:cs="Arial"/>
          <w:b/>
          <w:szCs w:val="20"/>
        </w:rPr>
        <w:t xml:space="preserve"> 2017 –</w:t>
      </w:r>
      <w:r w:rsidRPr="00DB3B52">
        <w:rPr>
          <w:rFonts w:cs="Arial"/>
          <w:b/>
          <w:bCs/>
          <w:szCs w:val="20"/>
        </w:rPr>
        <w:t xml:space="preserve"> </w:t>
      </w:r>
      <w:r w:rsidR="00DE7B8D" w:rsidRPr="00DB3B52">
        <w:rPr>
          <w:rFonts w:cs="Arial"/>
          <w:b/>
          <w:bCs/>
          <w:szCs w:val="20"/>
        </w:rPr>
        <w:t xml:space="preserve">Sberbank </w:t>
      </w:r>
      <w:r w:rsidR="00DB3B52" w:rsidRPr="00DB3B52">
        <w:rPr>
          <w:rFonts w:cs="Arial"/>
          <w:b/>
          <w:bCs/>
          <w:szCs w:val="20"/>
        </w:rPr>
        <w:t>se stala druhou nejlepší</w:t>
      </w:r>
      <w:r w:rsidR="00DB3B52">
        <w:rPr>
          <w:rFonts w:cs="Arial"/>
          <w:b/>
          <w:bCs/>
          <w:szCs w:val="20"/>
        </w:rPr>
        <w:t xml:space="preserve"> </w:t>
      </w:r>
      <w:r w:rsidR="00DB3B52" w:rsidRPr="00DB3B52">
        <w:rPr>
          <w:rFonts w:cs="Arial"/>
          <w:b/>
          <w:bCs/>
          <w:szCs w:val="20"/>
        </w:rPr>
        <w:t xml:space="preserve">GEEN Zelenou bankou 2016. Z pohledu </w:t>
      </w:r>
      <w:r w:rsidR="00DB3B52">
        <w:rPr>
          <w:rFonts w:cs="Arial"/>
          <w:b/>
          <w:bCs/>
          <w:szCs w:val="20"/>
        </w:rPr>
        <w:t xml:space="preserve">hodnocení </w:t>
      </w:r>
      <w:r w:rsidR="00DB3B52" w:rsidRPr="00DB3B52">
        <w:rPr>
          <w:rFonts w:cs="Arial"/>
          <w:b/>
          <w:bCs/>
          <w:szCs w:val="20"/>
        </w:rPr>
        <w:t xml:space="preserve">uhlíkové stopy je Sberbank nejlepší bankou na českém trhu. </w:t>
      </w:r>
      <w:r w:rsidR="00DB3B52" w:rsidRPr="00DB3B52">
        <w:rPr>
          <w:rFonts w:cs="Arial"/>
          <w:b/>
          <w:szCs w:val="20"/>
        </w:rPr>
        <w:t>Srovnání bank provádí společnost GEEN.EU, která se věnuje činnosti ekologických zdrojů elektrické energie a investic do ní.</w:t>
      </w:r>
    </w:p>
    <w:p w14:paraId="5798E5B5" w14:textId="77777777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B3B52">
        <w:rPr>
          <w:rFonts w:cs="Arial"/>
          <w:szCs w:val="20"/>
        </w:rPr>
        <w:t xml:space="preserve">Druhou nejlepší GEEN Zelenou bankou za rok 2016 se stala Sberbank CZ. Prvenství z minulého roku obhájila největší banka na trhu Česká spořitelna. Třetí místo patří </w:t>
      </w:r>
      <w:proofErr w:type="spellStart"/>
      <w:r w:rsidRPr="00DB3B52">
        <w:rPr>
          <w:rFonts w:cs="Arial"/>
          <w:szCs w:val="20"/>
        </w:rPr>
        <w:t>Raiffeisenbank</w:t>
      </w:r>
      <w:proofErr w:type="spellEnd"/>
      <w:r w:rsidRPr="00DB3B52">
        <w:rPr>
          <w:rFonts w:cs="Arial"/>
          <w:szCs w:val="20"/>
        </w:rPr>
        <w:t xml:space="preserve">. Poprvé byla letos hodnocena i uhlíková stopa činnosti bank. </w:t>
      </w:r>
    </w:p>
    <w:p w14:paraId="4B268C42" w14:textId="488332E0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B3B52">
        <w:rPr>
          <w:rFonts w:cs="Arial"/>
          <w:szCs w:val="20"/>
        </w:rPr>
        <w:t xml:space="preserve">Přehled vítězných bank: </w:t>
      </w:r>
    </w:p>
    <w:tbl>
      <w:tblPr>
        <w:tblW w:w="8389" w:type="dxa"/>
        <w:tblInd w:w="7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52"/>
        <w:gridCol w:w="919"/>
        <w:gridCol w:w="1019"/>
        <w:gridCol w:w="956"/>
        <w:gridCol w:w="857"/>
        <w:gridCol w:w="1019"/>
        <w:gridCol w:w="956"/>
        <w:gridCol w:w="881"/>
      </w:tblGrid>
      <w:tr w:rsidR="00DB3B52" w:rsidRPr="00DB3B52" w14:paraId="537B4CE5" w14:textId="77777777" w:rsidTr="00296975">
        <w:trPr>
          <w:trHeight w:val="52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FA834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Pořadí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49FC4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Banka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209FB" w14:textId="72954F52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Uhlíková stopa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5AB9D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Koeficient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5802D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Výsledek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30587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Aktivity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7FB50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Koeficient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0FBDD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Výsledek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B11EB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Celkem</w:t>
            </w:r>
          </w:p>
        </w:tc>
      </w:tr>
      <w:tr w:rsidR="00DB3B52" w:rsidRPr="00DB3B52" w14:paraId="23A01610" w14:textId="77777777" w:rsidTr="00296975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1D5F1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955D8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ČS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F0A66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EB71B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36EAA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919CC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F56C3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064C3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6524C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20</w:t>
            </w:r>
          </w:p>
        </w:tc>
      </w:tr>
      <w:tr w:rsidR="00DB3B52" w:rsidRPr="00DB3B52" w14:paraId="272F933D" w14:textId="77777777" w:rsidTr="00296975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B1F61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FB596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Sberbank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6242A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655F2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BF3F6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B166A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77F27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5E02D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5D7AC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20,6</w:t>
            </w:r>
          </w:p>
        </w:tc>
      </w:tr>
      <w:tr w:rsidR="00DB3B52" w:rsidRPr="00DB3B52" w14:paraId="5FFFE698" w14:textId="77777777" w:rsidTr="00296975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05603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09C89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RB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21FBE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88C0C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181E6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15,2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130B8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6C65A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45DCA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EC1DC" w14:textId="77777777" w:rsidR="00DB3B52" w:rsidRPr="00DB3B52" w:rsidRDefault="00DB3B52" w:rsidP="00296975">
            <w:pPr>
              <w:jc w:val="both"/>
              <w:rPr>
                <w:rFonts w:cs="Arial"/>
                <w:szCs w:val="20"/>
              </w:rPr>
            </w:pPr>
            <w:r w:rsidRPr="00DB3B52">
              <w:rPr>
                <w:rFonts w:cs="Arial"/>
                <w:b/>
                <w:bCs/>
                <w:szCs w:val="20"/>
                <w:bdr w:val="none" w:sz="0" w:space="0" w:color="auto" w:frame="1"/>
              </w:rPr>
              <w:t>27,2</w:t>
            </w:r>
          </w:p>
        </w:tc>
      </w:tr>
    </w:tbl>
    <w:p w14:paraId="12C42265" w14:textId="77777777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8A2B6BB" w14:textId="3646B38F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bookmarkStart w:id="0" w:name="_GoBack"/>
      <w:r w:rsidRPr="00DB3B52">
        <w:rPr>
          <w:rFonts w:cs="Arial"/>
          <w:szCs w:val="20"/>
        </w:rPr>
        <w:t>První místo Sberbank CZ uniklo jen o 0,6 bodů. Čím nižší bodové hodnocení ekologického zatížení banka získá, tím lepší pozici v hodnocení obsadí.</w:t>
      </w:r>
      <w:r w:rsidR="00512A69">
        <w:rPr>
          <w:rFonts w:cs="Arial"/>
          <w:szCs w:val="20"/>
        </w:rPr>
        <w:t xml:space="preserve"> </w:t>
      </w:r>
      <w:r w:rsidRPr="00DB3B52">
        <w:rPr>
          <w:rFonts w:cs="Arial"/>
          <w:szCs w:val="20"/>
        </w:rPr>
        <w:t xml:space="preserve">První Spořitelna získala 20 bodů, druhá </w:t>
      </w:r>
      <w:proofErr w:type="spellStart"/>
      <w:r w:rsidRPr="00DB3B52">
        <w:rPr>
          <w:rFonts w:cs="Arial"/>
          <w:szCs w:val="20"/>
        </w:rPr>
        <w:t>Sberbank</w:t>
      </w:r>
      <w:proofErr w:type="spellEnd"/>
      <w:r w:rsidRPr="00DB3B52">
        <w:rPr>
          <w:rFonts w:cs="Arial"/>
          <w:szCs w:val="20"/>
        </w:rPr>
        <w:t xml:space="preserve"> 20,6 a třetí </w:t>
      </w:r>
      <w:proofErr w:type="spellStart"/>
      <w:r w:rsidRPr="00DB3B52">
        <w:rPr>
          <w:rFonts w:cs="Arial"/>
          <w:szCs w:val="20"/>
        </w:rPr>
        <w:t>Raiffeisenbank</w:t>
      </w:r>
      <w:proofErr w:type="spellEnd"/>
      <w:r w:rsidRPr="00DB3B52">
        <w:rPr>
          <w:rFonts w:cs="Arial"/>
          <w:szCs w:val="20"/>
        </w:rPr>
        <w:t xml:space="preserve"> si odnesla 27,20 bodů. </w:t>
      </w:r>
    </w:p>
    <w:p w14:paraId="5B704FC8" w14:textId="7B094073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B3B52">
        <w:rPr>
          <w:rFonts w:cs="Arial"/>
          <w:szCs w:val="20"/>
        </w:rPr>
        <w:t xml:space="preserve">Nejnižší uhlíkovou stopu ze všech má Sberbank. Sberbank si také jako první banka v Česku nechala vypracovat uhlíkovou stopu za poslední dva roky a získala ocenění „Sledujeme CO2“ od asociace CI2. </w:t>
      </w:r>
    </w:p>
    <w:p w14:paraId="7EB19D18" w14:textId="54203820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B3B52">
        <w:rPr>
          <w:rFonts w:cs="Arial"/>
          <w:szCs w:val="20"/>
        </w:rPr>
        <w:t xml:space="preserve">Mezi </w:t>
      </w:r>
      <w:r>
        <w:rPr>
          <w:rFonts w:cs="Arial"/>
          <w:szCs w:val="20"/>
        </w:rPr>
        <w:t xml:space="preserve">zásadní </w:t>
      </w:r>
      <w:r w:rsidRPr="00DB3B52">
        <w:rPr>
          <w:rFonts w:cs="Arial"/>
          <w:szCs w:val="20"/>
        </w:rPr>
        <w:t xml:space="preserve">kritéria </w:t>
      </w:r>
      <w:r>
        <w:rPr>
          <w:rFonts w:cs="Arial"/>
          <w:szCs w:val="20"/>
        </w:rPr>
        <w:t xml:space="preserve">celkového hodnocení </w:t>
      </w:r>
      <w:r w:rsidRPr="00DB3B52">
        <w:rPr>
          <w:rFonts w:cs="Arial"/>
          <w:szCs w:val="20"/>
        </w:rPr>
        <w:t xml:space="preserve">patří především: rozsah uhlíkové stopy činnosti banky, (ne)tisknutí materiálů a dokumentů banky (tisk na recyklovaný papír, elektronické substituce, </w:t>
      </w:r>
      <w:proofErr w:type="spellStart"/>
      <w:r w:rsidRPr="00DB3B52">
        <w:rPr>
          <w:rFonts w:cs="Arial"/>
          <w:szCs w:val="20"/>
        </w:rPr>
        <w:t>signpady</w:t>
      </w:r>
      <w:proofErr w:type="spellEnd"/>
      <w:r w:rsidRPr="00DB3B52">
        <w:rPr>
          <w:rFonts w:cs="Arial"/>
          <w:szCs w:val="20"/>
        </w:rPr>
        <w:t>), elektromobily, ekologické dopravní prostředky (využívání elektromobilů, podpora, např. zvýhodněné leasingy nebo úvěry pro tento typ dopravních prostředků), třídění odpadu, nákup zelené energie, úvěrování projektů obnovitelných zdrojů (zvýhodněné financování stejně jako u ekologických dopravních prostředků), podpora vzdělávání v oblasti ekologie a obnovitelných zdrojů, používání PC, spotřební elektroniky (v jaké energetické náročnosti banky používají elektrické spo</w:t>
      </w:r>
      <w:r>
        <w:rPr>
          <w:rFonts w:cs="Arial"/>
          <w:szCs w:val="20"/>
        </w:rPr>
        <w:t>třebiče</w:t>
      </w:r>
      <w:r w:rsidRPr="00DB3B52">
        <w:rPr>
          <w:rFonts w:cs="Arial"/>
          <w:szCs w:val="20"/>
        </w:rPr>
        <w:t xml:space="preserve">). </w:t>
      </w:r>
    </w:p>
    <w:p w14:paraId="0A869EE7" w14:textId="5163346A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B3B52">
        <w:rPr>
          <w:rFonts w:cs="Arial"/>
          <w:szCs w:val="20"/>
        </w:rPr>
        <w:t>Hodnocení bank podle jejich šetrnosti k životnímu prostředí je jedn</w:t>
      </w:r>
      <w:r w:rsidR="003673F9">
        <w:rPr>
          <w:rFonts w:cs="Arial"/>
          <w:szCs w:val="20"/>
        </w:rPr>
        <w:t>a</w:t>
      </w:r>
      <w:r w:rsidRPr="00DB3B52">
        <w:rPr>
          <w:rFonts w:cs="Arial"/>
          <w:szCs w:val="20"/>
        </w:rPr>
        <w:t xml:space="preserve"> z částí hodnocení GEEN Vstřícná banka. Srovnání bank provádí společnost GEEN.EU, která se věnuje činnosti ekologických zdrojů elektrické energie a investic do ní.</w:t>
      </w:r>
    </w:p>
    <w:p w14:paraId="0876DD34" w14:textId="65DE9A93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B3B52">
        <w:rPr>
          <w:rFonts w:cs="Arial"/>
          <w:szCs w:val="20"/>
        </w:rPr>
        <w:t>Sberbank CZ se již od svého vstupu na trhu profiluje jako zelená banka a věnuje s</w:t>
      </w:r>
      <w:r w:rsidR="003673F9">
        <w:rPr>
          <w:rFonts w:cs="Arial"/>
          <w:szCs w:val="20"/>
        </w:rPr>
        <w:t>e na tomto poli</w:t>
      </w:r>
      <w:r w:rsidRPr="00DB3B52">
        <w:rPr>
          <w:rFonts w:cs="Arial"/>
          <w:szCs w:val="20"/>
        </w:rPr>
        <w:t xml:space="preserve"> i netradičním aktivitám. Její zaměstnanci např. již vysadili dva lesy – v Podještědí a v Beskydech. </w:t>
      </w:r>
    </w:p>
    <w:bookmarkEnd w:id="0"/>
    <w:p w14:paraId="5310D9DF" w14:textId="77777777" w:rsidR="00DB3B52" w:rsidRPr="00DB3B52" w:rsidRDefault="00DB3B52" w:rsidP="00DB3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D3DF03A" w14:textId="5E7648DA" w:rsidR="00A9280D" w:rsidRDefault="00A9280D" w:rsidP="00F84DCC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p w14:paraId="4D5CF62B" w14:textId="77777777" w:rsidR="001D3FC4" w:rsidRPr="0045771D" w:rsidRDefault="001D3FC4" w:rsidP="00F84DCC">
      <w:pPr>
        <w:spacing w:after="0"/>
        <w:jc w:val="both"/>
        <w:rPr>
          <w:rFonts w:cs="Arial"/>
          <w:b/>
          <w:sz w:val="18"/>
          <w:szCs w:val="18"/>
        </w:rPr>
      </w:pPr>
      <w:r w:rsidRPr="0045771D">
        <w:rPr>
          <w:rFonts w:cs="Arial"/>
          <w:b/>
          <w:sz w:val="18"/>
          <w:szCs w:val="18"/>
        </w:rPr>
        <w:t>Hana Drápalová</w:t>
      </w:r>
    </w:p>
    <w:p w14:paraId="025CAD5C" w14:textId="5B66D59C" w:rsidR="001D3FC4" w:rsidRPr="0045771D" w:rsidRDefault="001D3FC4" w:rsidP="00F84DCC">
      <w:pPr>
        <w:tabs>
          <w:tab w:val="left" w:pos="5103"/>
        </w:tabs>
        <w:spacing w:after="0"/>
        <w:jc w:val="both"/>
        <w:rPr>
          <w:rFonts w:cs="Arial"/>
          <w:sz w:val="18"/>
          <w:szCs w:val="18"/>
        </w:rPr>
      </w:pPr>
      <w:r w:rsidRPr="0045771D">
        <w:rPr>
          <w:rFonts w:cs="Arial"/>
          <w:sz w:val="18"/>
          <w:szCs w:val="18"/>
        </w:rPr>
        <w:t>Tiskové oddělení Sberbank CZ, a.s.</w:t>
      </w:r>
    </w:p>
    <w:p w14:paraId="38735ED1" w14:textId="77777777" w:rsidR="001D3FC4" w:rsidRPr="0045771D" w:rsidRDefault="001D3FC4" w:rsidP="00F84DCC">
      <w:pPr>
        <w:tabs>
          <w:tab w:val="left" w:pos="5103"/>
        </w:tabs>
        <w:spacing w:after="0"/>
        <w:jc w:val="both"/>
        <w:rPr>
          <w:rFonts w:cs="Arial"/>
          <w:sz w:val="18"/>
          <w:szCs w:val="18"/>
        </w:rPr>
      </w:pPr>
      <w:r w:rsidRPr="0045771D">
        <w:rPr>
          <w:rFonts w:cs="Arial"/>
          <w:sz w:val="18"/>
          <w:szCs w:val="18"/>
        </w:rPr>
        <w:t xml:space="preserve">Tel.: </w:t>
      </w:r>
      <w:r w:rsidRPr="0045771D">
        <w:rPr>
          <w:rFonts w:cs="Arial"/>
          <w:sz w:val="18"/>
          <w:szCs w:val="18"/>
          <w:lang w:eastAsia="cs-CZ"/>
        </w:rPr>
        <w:t>234 706 837</w:t>
      </w:r>
      <w:r w:rsidRPr="0045771D">
        <w:rPr>
          <w:rFonts w:cs="Arial"/>
          <w:sz w:val="18"/>
          <w:szCs w:val="18"/>
        </w:rPr>
        <w:t xml:space="preserve">, </w:t>
      </w:r>
      <w:r w:rsidRPr="0045771D">
        <w:rPr>
          <w:rFonts w:cs="Arial"/>
          <w:sz w:val="18"/>
          <w:szCs w:val="18"/>
          <w:lang w:eastAsia="cs-CZ"/>
        </w:rPr>
        <w:t>731 663 831</w:t>
      </w:r>
    </w:p>
    <w:p w14:paraId="3D093AD7" w14:textId="77777777" w:rsidR="001D3FC4" w:rsidRPr="0045771D" w:rsidRDefault="001D3FC4" w:rsidP="00F84DCC">
      <w:pPr>
        <w:tabs>
          <w:tab w:val="left" w:pos="5103"/>
        </w:tabs>
        <w:spacing w:after="0"/>
        <w:ind w:right="-108"/>
        <w:jc w:val="both"/>
        <w:rPr>
          <w:rFonts w:cs="Arial"/>
          <w:sz w:val="18"/>
          <w:szCs w:val="18"/>
        </w:rPr>
      </w:pPr>
      <w:r w:rsidRPr="0045771D">
        <w:rPr>
          <w:rFonts w:cs="Arial"/>
          <w:b/>
          <w:sz w:val="18"/>
          <w:szCs w:val="18"/>
        </w:rPr>
        <w:t>E-mail:</w:t>
      </w:r>
      <w:r w:rsidRPr="0045771D">
        <w:rPr>
          <w:rFonts w:cs="Arial"/>
          <w:sz w:val="18"/>
          <w:szCs w:val="18"/>
        </w:rPr>
        <w:t xml:space="preserve"> drapalova.hana@sberbankcz.cz</w:t>
      </w:r>
    </w:p>
    <w:p w14:paraId="26231C74" w14:textId="77777777" w:rsidR="001D3FC4" w:rsidRPr="0045771D" w:rsidRDefault="00A77706" w:rsidP="00F84DCC">
      <w:pPr>
        <w:tabs>
          <w:tab w:val="left" w:pos="5103"/>
        </w:tabs>
        <w:contextualSpacing/>
        <w:jc w:val="both"/>
        <w:rPr>
          <w:sz w:val="18"/>
          <w:szCs w:val="18"/>
        </w:rPr>
      </w:pPr>
      <w:hyperlink r:id="rId8" w:history="1">
        <w:r w:rsidR="001D3FC4" w:rsidRPr="0045771D">
          <w:rPr>
            <w:rStyle w:val="Hypertextovodkaz"/>
            <w:b/>
            <w:sz w:val="18"/>
            <w:szCs w:val="18"/>
          </w:rPr>
          <w:t>www.Sberbank.cz</w:t>
        </w:r>
      </w:hyperlink>
    </w:p>
    <w:p w14:paraId="3798AB0D" w14:textId="4D3D7D53" w:rsidR="001D3FC4" w:rsidRPr="00836A71" w:rsidRDefault="00A77706" w:rsidP="00836A71">
      <w:pPr>
        <w:tabs>
          <w:tab w:val="left" w:pos="5103"/>
        </w:tabs>
        <w:contextualSpacing/>
        <w:jc w:val="both"/>
        <w:rPr>
          <w:rFonts w:cs="Arial"/>
          <w:b/>
          <w:color w:val="00703C"/>
          <w:szCs w:val="20"/>
        </w:rPr>
      </w:pPr>
      <w:hyperlink r:id="rId9" w:history="1"/>
      <w:r w:rsidR="001D3FC4"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B2A35C0" wp14:editId="124152B5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5093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80AFC" id="Přímá spojnic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" strokecolor="#a5a5a5"/>
            </w:pict>
          </mc:Fallback>
        </mc:AlternateContent>
      </w:r>
    </w:p>
    <w:p w14:paraId="76E6E45E" w14:textId="77777777" w:rsidR="001D3FC4" w:rsidRPr="00B84099" w:rsidRDefault="001D3FC4" w:rsidP="00F84DCC">
      <w:pPr>
        <w:spacing w:after="0"/>
        <w:jc w:val="both"/>
        <w:rPr>
          <w:rFonts w:cs="Arial"/>
          <w:sz w:val="16"/>
          <w:szCs w:val="16"/>
        </w:rPr>
      </w:pPr>
      <w:r w:rsidRPr="00B84099">
        <w:rPr>
          <w:rFonts w:cs="Arial"/>
          <w:b/>
          <w:bCs/>
          <w:color w:val="008000"/>
          <w:sz w:val="16"/>
          <w:szCs w:val="16"/>
        </w:rPr>
        <w:t>O společnosti Sberbank CZ, a.s.</w:t>
      </w:r>
    </w:p>
    <w:p w14:paraId="27F45E43" w14:textId="40E66447" w:rsidR="009475D4" w:rsidRPr="0045771D" w:rsidRDefault="001D3FC4" w:rsidP="008543F0">
      <w:pPr>
        <w:pStyle w:val="Bezmezer1"/>
        <w:spacing w:after="240" w:line="276" w:lineRule="auto"/>
      </w:pPr>
      <w:r w:rsidRPr="00B84099">
        <w:rPr>
          <w:rFonts w:ascii="Arial" w:hAnsi="Arial" w:cs="Arial"/>
          <w:sz w:val="16"/>
          <w:szCs w:val="16"/>
        </w:rPr>
        <w:t xml:space="preserve">Na českém trhu působí Sberbank CZ již od roku 1993, od 1. ledna 1997 jako samostatná akciová společnost. Jejím majoritním vlastníkem je </w:t>
      </w:r>
      <w:proofErr w:type="spellStart"/>
      <w:r w:rsidRPr="00B84099">
        <w:rPr>
          <w:rFonts w:ascii="Arial" w:hAnsi="Arial" w:cs="Arial"/>
          <w:sz w:val="16"/>
          <w:szCs w:val="16"/>
        </w:rPr>
        <w:t>Sberbank</w:t>
      </w:r>
      <w:proofErr w:type="spellEnd"/>
      <w:r w:rsidRPr="00B840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84099">
        <w:rPr>
          <w:rFonts w:ascii="Arial" w:hAnsi="Arial" w:cs="Arial"/>
          <w:sz w:val="16"/>
          <w:szCs w:val="16"/>
        </w:rPr>
        <w:t>Europe</w:t>
      </w:r>
      <w:proofErr w:type="spellEnd"/>
      <w:r w:rsidRPr="00B84099">
        <w:rPr>
          <w:rFonts w:ascii="Arial" w:hAnsi="Arial" w:cs="Arial"/>
          <w:sz w:val="16"/>
          <w:szCs w:val="16"/>
        </w:rPr>
        <w:t xml:space="preserve"> AG. Sberbank CZ je obchodní bankou se širokou nabídkou finančních </w:t>
      </w:r>
      <w:r w:rsidR="006C707D" w:rsidRPr="00B84099">
        <w:rPr>
          <w:rFonts w:ascii="Arial" w:hAnsi="Arial" w:cs="Arial"/>
          <w:sz w:val="16"/>
          <w:szCs w:val="16"/>
        </w:rPr>
        <w:t xml:space="preserve">produktů a služeb pro privátní </w:t>
      </w:r>
      <w:r w:rsidRPr="00B84099">
        <w:rPr>
          <w:rFonts w:ascii="Arial" w:hAnsi="Arial" w:cs="Arial"/>
          <w:sz w:val="16"/>
          <w:szCs w:val="16"/>
        </w:rPr>
        <w:t xml:space="preserve">i firemní klientelu. Může se pochlubit druhým místem v soutěži </w:t>
      </w:r>
      <w:r w:rsidRPr="00B84099">
        <w:rPr>
          <w:rFonts w:ascii="Arial" w:hAnsi="Arial" w:cs="Arial"/>
          <w:b/>
          <w:sz w:val="16"/>
          <w:szCs w:val="16"/>
        </w:rPr>
        <w:t xml:space="preserve">Klientsky nejpřívětivější banka roku 2016 </w:t>
      </w:r>
      <w:r w:rsidRPr="00B84099">
        <w:rPr>
          <w:rFonts w:ascii="Arial" w:hAnsi="Arial" w:cs="Arial"/>
          <w:sz w:val="16"/>
          <w:szCs w:val="16"/>
        </w:rPr>
        <w:t xml:space="preserve">a spotřebitelská půjčka byla oceněna jako </w:t>
      </w:r>
      <w:r w:rsidRPr="00B84099">
        <w:rPr>
          <w:rFonts w:ascii="Arial" w:hAnsi="Arial" w:cs="Arial"/>
          <w:b/>
          <w:sz w:val="16"/>
          <w:szCs w:val="16"/>
        </w:rPr>
        <w:t xml:space="preserve">Nejlepší finanční produkt roku 2016 </w:t>
      </w:r>
      <w:r w:rsidRPr="00B84099">
        <w:rPr>
          <w:rFonts w:ascii="Arial" w:hAnsi="Arial" w:cs="Arial"/>
          <w:sz w:val="16"/>
          <w:szCs w:val="16"/>
        </w:rPr>
        <w:t>u hlasování veřejnosti.</w:t>
      </w:r>
      <w:r w:rsidR="006C707D" w:rsidRPr="00B84099">
        <w:rPr>
          <w:rFonts w:ascii="Arial" w:hAnsi="Arial" w:cs="Arial"/>
          <w:sz w:val="16"/>
          <w:szCs w:val="16"/>
        </w:rPr>
        <w:t xml:space="preserve"> Spořicí účet FÉR spoření PLUS získal první místo v soutěži Finanční produkt roku 2016 v kategorii spořicích účtů.</w:t>
      </w:r>
    </w:p>
    <w:sectPr w:rsidR="009475D4" w:rsidRPr="0045771D" w:rsidSect="00612EAB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B1E8" w14:textId="77777777" w:rsidR="00A77706" w:rsidRDefault="00A77706" w:rsidP="007A3AA0">
      <w:pPr>
        <w:spacing w:after="0" w:line="240" w:lineRule="auto"/>
      </w:pPr>
      <w:r>
        <w:separator/>
      </w:r>
    </w:p>
  </w:endnote>
  <w:endnote w:type="continuationSeparator" w:id="0">
    <w:p w14:paraId="07B55251" w14:textId="77777777" w:rsidR="00A77706" w:rsidRDefault="00A77706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FE1E" w14:textId="77777777" w:rsidR="00612EAB" w:rsidRPr="00221EBE" w:rsidRDefault="00221EBE" w:rsidP="00221EBE">
    <w:pPr>
      <w:pStyle w:val="Zpat"/>
    </w:pPr>
    <w:r>
      <w:rPr>
        <w:sz w:val="12"/>
        <w:szCs w:val="12"/>
      </w:rPr>
      <w:t>Sberbank CZ, a.s. je zapsaná v obchodním rejstříku vedeném Městským soudem v Praze, spisová značka B 4353.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EF0F" w14:textId="77777777" w:rsidR="00A77706" w:rsidRDefault="00A77706" w:rsidP="007A3AA0">
      <w:pPr>
        <w:spacing w:after="0" w:line="240" w:lineRule="auto"/>
      </w:pPr>
      <w:r>
        <w:separator/>
      </w:r>
    </w:p>
  </w:footnote>
  <w:footnote w:type="continuationSeparator" w:id="0">
    <w:p w14:paraId="70AE90F8" w14:textId="77777777" w:rsidR="00A77706" w:rsidRDefault="00A77706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93DE" w14:textId="77777777" w:rsidR="007A3AA0" w:rsidRPr="007A3AA0" w:rsidRDefault="007A3AA0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5B7" w14:textId="77777777" w:rsidR="00442C94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950AC44" wp14:editId="76ED5D5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0" t="0" r="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7966E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4962AF3C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69E97041" w14:textId="77777777" w:rsidR="00382B9D" w:rsidRDefault="007A3376" w:rsidP="00442C94">
    <w:pPr>
      <w:pStyle w:val="Zhlav"/>
      <w:spacing w:line="180" w:lineRule="exact"/>
      <w:rPr>
        <w:rFonts w:cs="Arial"/>
        <w:sz w:val="15"/>
        <w:szCs w:val="15"/>
      </w:rPr>
    </w:pP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2336" behindDoc="1" locked="1" layoutInCell="1" allowOverlap="1" wp14:anchorId="0B225B4D" wp14:editId="40154F25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6000" cy="6696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B_razitko_Klientsky-nejprivetivejsi-banka_2016_2-misto_CZ_C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1" layoutInCell="1" allowOverlap="1" wp14:anchorId="0C8A24CC" wp14:editId="2AB25E3B">
          <wp:simplePos x="0" y="0"/>
          <wp:positionH relativeFrom="page">
            <wp:posOffset>5897245</wp:posOffset>
          </wp:positionH>
          <wp:positionV relativeFrom="page">
            <wp:posOffset>568960</wp:posOffset>
          </wp:positionV>
          <wp:extent cx="669600" cy="669600"/>
          <wp:effectExtent l="0" t="0" r="0" b="0"/>
          <wp:wrapNone/>
          <wp:docPr id="2" name="Obrázek 2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0288" behindDoc="1" locked="1" layoutInCell="1" allowOverlap="1" wp14:anchorId="17D5D926" wp14:editId="01F846DF">
          <wp:simplePos x="0" y="0"/>
          <wp:positionH relativeFrom="page">
            <wp:posOffset>4457065</wp:posOffset>
          </wp:positionH>
          <wp:positionV relativeFrom="page">
            <wp:posOffset>568960</wp:posOffset>
          </wp:positionV>
          <wp:extent cx="673200" cy="673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59264" behindDoc="1" locked="1" layoutInCell="1" allowOverlap="1" wp14:anchorId="2CC3981A" wp14:editId="66AEF509">
          <wp:simplePos x="0" y="0"/>
          <wp:positionH relativeFrom="page">
            <wp:posOffset>5177155</wp:posOffset>
          </wp:positionH>
          <wp:positionV relativeFrom="page">
            <wp:posOffset>568960</wp:posOffset>
          </wp:positionV>
          <wp:extent cx="669600" cy="673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45730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5F11A3A7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42C027FE" w14:textId="77777777" w:rsidR="00442C94" w:rsidRPr="00AB7E9D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0FB5813" wp14:editId="256EA9C5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2173AE61" wp14:editId="6DF58179">
              <wp:simplePos x="0" y="0"/>
              <wp:positionH relativeFrom="column">
                <wp:posOffset>0</wp:posOffset>
              </wp:positionH>
              <wp:positionV relativeFrom="page">
                <wp:posOffset>2160269</wp:posOffset>
              </wp:positionV>
              <wp:extent cx="6480175" cy="0"/>
              <wp:effectExtent l="0" t="0" r="15875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72B0" id="Přímá spojnic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    <o:lock v:ext="edit" shapetype="f"/>
              <w10:wrap anchory="page"/>
              <w10:anchorlock/>
            </v:line>
          </w:pict>
        </mc:Fallback>
      </mc:AlternateContent>
    </w:r>
    <w:r w:rsidR="00442C94" w:rsidRPr="00AB7E9D">
      <w:rPr>
        <w:rFonts w:cs="Arial"/>
        <w:sz w:val="15"/>
        <w:szCs w:val="15"/>
      </w:rPr>
      <w:t>Sberbank CZ, a.s.</w:t>
    </w:r>
  </w:p>
  <w:p w14:paraId="60CB0B72" w14:textId="77777777" w:rsidR="00442C94" w:rsidRPr="00AB7E9D" w:rsidRDefault="00901925" w:rsidP="00901925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="00442C94" w:rsidRPr="00AB7E9D">
      <w:rPr>
        <w:rFonts w:cs="Arial"/>
        <w:sz w:val="15"/>
        <w:szCs w:val="15"/>
      </w:rPr>
      <w:t>, Česká republika</w:t>
    </w:r>
  </w:p>
  <w:p w14:paraId="6882FBE3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 w:rsidR="00787F2D"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14:paraId="04062DC0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14:paraId="7C15E302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14:paraId="6EB2AFC5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 w:rsidR="00787F2D"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14:paraId="580E1612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2F7193F8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33466C5C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2FB7C20A" w14:textId="093ED873" w:rsidR="00442C94" w:rsidRPr="0045771D" w:rsidRDefault="00EA6BCE" w:rsidP="00442C94">
    <w:pPr>
      <w:pStyle w:val="Zhlav"/>
      <w:spacing w:line="520" w:lineRule="exact"/>
      <w:rPr>
        <w:rFonts w:cs="Arial"/>
        <w:spacing w:val="-10"/>
        <w:sz w:val="40"/>
        <w:szCs w:val="40"/>
      </w:rPr>
    </w:pPr>
    <w:r w:rsidRPr="0045771D">
      <w:rPr>
        <w:rFonts w:cs="Arial"/>
        <w:spacing w:val="-10"/>
        <w:sz w:val="40"/>
        <w:szCs w:val="40"/>
      </w:rPr>
      <w:t>TISKOVÁ ZP</w:t>
    </w:r>
    <w:r w:rsidR="00C060DC" w:rsidRPr="0045771D">
      <w:rPr>
        <w:rFonts w:cs="Arial"/>
        <w:spacing w:val="-10"/>
        <w:sz w:val="40"/>
        <w:szCs w:val="40"/>
      </w:rPr>
      <w:t>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1BBC"/>
    <w:multiLevelType w:val="multilevel"/>
    <w:tmpl w:val="52B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C"/>
    <w:rsid w:val="00005043"/>
    <w:rsid w:val="00030985"/>
    <w:rsid w:val="000477F3"/>
    <w:rsid w:val="00054B82"/>
    <w:rsid w:val="00067E1D"/>
    <w:rsid w:val="000D1BF7"/>
    <w:rsid w:val="000D387F"/>
    <w:rsid w:val="000E48E4"/>
    <w:rsid w:val="00105D43"/>
    <w:rsid w:val="00127F63"/>
    <w:rsid w:val="00136456"/>
    <w:rsid w:val="0014046C"/>
    <w:rsid w:val="00155FD0"/>
    <w:rsid w:val="001C6C0B"/>
    <w:rsid w:val="001C7A49"/>
    <w:rsid w:val="001D3FC4"/>
    <w:rsid w:val="001E2E96"/>
    <w:rsid w:val="001F1F52"/>
    <w:rsid w:val="0021650E"/>
    <w:rsid w:val="00221EBE"/>
    <w:rsid w:val="00222D5B"/>
    <w:rsid w:val="00241260"/>
    <w:rsid w:val="002740A9"/>
    <w:rsid w:val="002947A5"/>
    <w:rsid w:val="002A35E6"/>
    <w:rsid w:val="002B65C7"/>
    <w:rsid w:val="002C157C"/>
    <w:rsid w:val="002D3E3A"/>
    <w:rsid w:val="002E2F68"/>
    <w:rsid w:val="00341AFD"/>
    <w:rsid w:val="003572AA"/>
    <w:rsid w:val="003673F9"/>
    <w:rsid w:val="00371A0B"/>
    <w:rsid w:val="003739F1"/>
    <w:rsid w:val="00382B9D"/>
    <w:rsid w:val="00395963"/>
    <w:rsid w:val="00396DCB"/>
    <w:rsid w:val="003A1B49"/>
    <w:rsid w:val="003D045B"/>
    <w:rsid w:val="003E0CDE"/>
    <w:rsid w:val="003E74A2"/>
    <w:rsid w:val="0042049B"/>
    <w:rsid w:val="00420850"/>
    <w:rsid w:val="00442C94"/>
    <w:rsid w:val="0045771D"/>
    <w:rsid w:val="004A4157"/>
    <w:rsid w:val="004A435B"/>
    <w:rsid w:val="004B7D9D"/>
    <w:rsid w:val="004C104C"/>
    <w:rsid w:val="004E1D57"/>
    <w:rsid w:val="004E4CEC"/>
    <w:rsid w:val="004F1242"/>
    <w:rsid w:val="00512A69"/>
    <w:rsid w:val="00515AF0"/>
    <w:rsid w:val="00595556"/>
    <w:rsid w:val="005A4D36"/>
    <w:rsid w:val="005A4E52"/>
    <w:rsid w:val="005E2106"/>
    <w:rsid w:val="005F415A"/>
    <w:rsid w:val="00603966"/>
    <w:rsid w:val="00612EAB"/>
    <w:rsid w:val="00617283"/>
    <w:rsid w:val="0062300E"/>
    <w:rsid w:val="006321D5"/>
    <w:rsid w:val="00637EA0"/>
    <w:rsid w:val="00667810"/>
    <w:rsid w:val="006A6C37"/>
    <w:rsid w:val="006C707D"/>
    <w:rsid w:val="006D3D79"/>
    <w:rsid w:val="00733C38"/>
    <w:rsid w:val="00735966"/>
    <w:rsid w:val="007806C2"/>
    <w:rsid w:val="00785133"/>
    <w:rsid w:val="00787F2D"/>
    <w:rsid w:val="00791774"/>
    <w:rsid w:val="007A0499"/>
    <w:rsid w:val="007A3376"/>
    <w:rsid w:val="007A3AA0"/>
    <w:rsid w:val="007A4CCE"/>
    <w:rsid w:val="007A76A0"/>
    <w:rsid w:val="007F2BA2"/>
    <w:rsid w:val="00802E99"/>
    <w:rsid w:val="00823146"/>
    <w:rsid w:val="00836A71"/>
    <w:rsid w:val="0084091A"/>
    <w:rsid w:val="00850956"/>
    <w:rsid w:val="008543F0"/>
    <w:rsid w:val="008C529E"/>
    <w:rsid w:val="008F5397"/>
    <w:rsid w:val="00901925"/>
    <w:rsid w:val="00905D7F"/>
    <w:rsid w:val="00920014"/>
    <w:rsid w:val="009475D4"/>
    <w:rsid w:val="00970E6B"/>
    <w:rsid w:val="00990FD6"/>
    <w:rsid w:val="009C10FB"/>
    <w:rsid w:val="009E5C68"/>
    <w:rsid w:val="00A00C2E"/>
    <w:rsid w:val="00A14D00"/>
    <w:rsid w:val="00A16691"/>
    <w:rsid w:val="00A25E35"/>
    <w:rsid w:val="00A303D1"/>
    <w:rsid w:val="00A77706"/>
    <w:rsid w:val="00A9280D"/>
    <w:rsid w:val="00AA6ED2"/>
    <w:rsid w:val="00AB7E9D"/>
    <w:rsid w:val="00AD44BB"/>
    <w:rsid w:val="00AD6EE8"/>
    <w:rsid w:val="00AE371F"/>
    <w:rsid w:val="00AE5817"/>
    <w:rsid w:val="00B4366E"/>
    <w:rsid w:val="00B57C3E"/>
    <w:rsid w:val="00B627EF"/>
    <w:rsid w:val="00B72EA6"/>
    <w:rsid w:val="00B84099"/>
    <w:rsid w:val="00B929B9"/>
    <w:rsid w:val="00C060DC"/>
    <w:rsid w:val="00C47B90"/>
    <w:rsid w:val="00C5550B"/>
    <w:rsid w:val="00C63DD9"/>
    <w:rsid w:val="00C75C45"/>
    <w:rsid w:val="00CA1BAA"/>
    <w:rsid w:val="00CC2688"/>
    <w:rsid w:val="00CC3C8E"/>
    <w:rsid w:val="00D10EA6"/>
    <w:rsid w:val="00D265CC"/>
    <w:rsid w:val="00D66D9B"/>
    <w:rsid w:val="00DB3B52"/>
    <w:rsid w:val="00DC2573"/>
    <w:rsid w:val="00DD45A4"/>
    <w:rsid w:val="00DD47AA"/>
    <w:rsid w:val="00DE3885"/>
    <w:rsid w:val="00DE7B8D"/>
    <w:rsid w:val="00E011A4"/>
    <w:rsid w:val="00E163A1"/>
    <w:rsid w:val="00E25845"/>
    <w:rsid w:val="00E648A9"/>
    <w:rsid w:val="00E9694C"/>
    <w:rsid w:val="00EA2975"/>
    <w:rsid w:val="00EA4476"/>
    <w:rsid w:val="00EA6BCE"/>
    <w:rsid w:val="00ED03FE"/>
    <w:rsid w:val="00ED3EB8"/>
    <w:rsid w:val="00F01F56"/>
    <w:rsid w:val="00F20619"/>
    <w:rsid w:val="00F243DE"/>
    <w:rsid w:val="00F27800"/>
    <w:rsid w:val="00F43763"/>
    <w:rsid w:val="00F51403"/>
    <w:rsid w:val="00F53902"/>
    <w:rsid w:val="00F84DC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3B8B"/>
  <w15:docId w15:val="{B3FCD808-F8A1-435F-99A5-688282C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60D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92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8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8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80D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A4D36"/>
    <w:rPr>
      <w:color w:val="0563C1" w:themeColor="hyperlink"/>
      <w:u w:val="single"/>
    </w:rPr>
  </w:style>
  <w:style w:type="paragraph" w:customStyle="1" w:styleId="Bezmezer1">
    <w:name w:val="Bez mezer1"/>
    <w:uiPriority w:val="99"/>
    <w:rsid w:val="001D3F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407">
                      <w:marLeft w:val="33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bankCZ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A129-332C-4F3B-92F7-3E232F26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Sberbank CZ, a.s.</dc:creator>
  <cp:lastModifiedBy>Šárka</cp:lastModifiedBy>
  <cp:revision>2</cp:revision>
  <cp:lastPrinted>2016-10-11T08:21:00Z</cp:lastPrinted>
  <dcterms:created xsi:type="dcterms:W3CDTF">2017-02-09T15:34:00Z</dcterms:created>
  <dcterms:modified xsi:type="dcterms:W3CDTF">2017-02-09T15:34:00Z</dcterms:modified>
</cp:coreProperties>
</file>