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FB1F" w14:textId="169EC972" w:rsidR="00836A71" w:rsidRPr="00724797" w:rsidRDefault="00D534E6" w:rsidP="00836A71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>
        <w:rPr>
          <w:rFonts w:cs="Arial"/>
          <w:b/>
          <w:bCs/>
          <w:sz w:val="24"/>
          <w:szCs w:val="24"/>
        </w:rPr>
        <w:br/>
      </w:r>
      <w:r w:rsidR="00B934B3">
        <w:rPr>
          <w:rFonts w:cs="Arial"/>
          <w:b/>
          <w:bCs/>
          <w:sz w:val="28"/>
          <w:szCs w:val="28"/>
        </w:rPr>
        <w:t xml:space="preserve">Zisk </w:t>
      </w:r>
      <w:r w:rsidR="000A780E">
        <w:rPr>
          <w:rFonts w:cs="Arial"/>
          <w:b/>
          <w:bCs/>
          <w:sz w:val="28"/>
          <w:szCs w:val="28"/>
        </w:rPr>
        <w:t>Sberbank CZ</w:t>
      </w:r>
      <w:r w:rsidR="005978E4">
        <w:rPr>
          <w:rFonts w:cs="Arial"/>
          <w:b/>
          <w:bCs/>
          <w:sz w:val="28"/>
          <w:szCs w:val="28"/>
        </w:rPr>
        <w:t xml:space="preserve"> </w:t>
      </w:r>
      <w:r w:rsidR="00B934B3">
        <w:rPr>
          <w:rFonts w:cs="Arial"/>
          <w:b/>
          <w:bCs/>
          <w:sz w:val="28"/>
          <w:szCs w:val="28"/>
        </w:rPr>
        <w:t xml:space="preserve">v roce 2016 dosáhl 272 milionů korun, </w:t>
      </w:r>
      <w:r w:rsidR="005978E4">
        <w:rPr>
          <w:rFonts w:cs="Arial"/>
          <w:b/>
          <w:bCs/>
          <w:sz w:val="28"/>
          <w:szCs w:val="28"/>
        </w:rPr>
        <w:t xml:space="preserve">především díky </w:t>
      </w:r>
      <w:r w:rsidR="005978E4" w:rsidRPr="00444AA2">
        <w:rPr>
          <w:rFonts w:cs="Arial"/>
          <w:b/>
          <w:bCs/>
          <w:sz w:val="28"/>
          <w:szCs w:val="28"/>
        </w:rPr>
        <w:t>rekordnímu</w:t>
      </w:r>
      <w:r w:rsidR="005978E4">
        <w:rPr>
          <w:rFonts w:cs="Arial"/>
          <w:b/>
          <w:bCs/>
          <w:sz w:val="28"/>
          <w:szCs w:val="28"/>
        </w:rPr>
        <w:t xml:space="preserve"> zájmu o FÉR půjčky a FÉR hypotéky</w:t>
      </w:r>
      <w:r w:rsidR="004726DB">
        <w:rPr>
          <w:rFonts w:cs="Arial"/>
          <w:b/>
          <w:bCs/>
          <w:sz w:val="28"/>
          <w:szCs w:val="28"/>
        </w:rPr>
        <w:br/>
      </w:r>
    </w:p>
    <w:p w14:paraId="73EBAD6C" w14:textId="6F1E2EC4" w:rsidR="005978E4" w:rsidRPr="005978E4" w:rsidRDefault="00836A71" w:rsidP="005978E4">
      <w:pPr>
        <w:autoSpaceDE w:val="0"/>
        <w:autoSpaceDN w:val="0"/>
        <w:adjustRightInd w:val="0"/>
        <w:spacing w:after="120"/>
        <w:jc w:val="both"/>
        <w:rPr>
          <w:rFonts w:cs="Arial"/>
          <w:b/>
          <w:szCs w:val="20"/>
        </w:rPr>
      </w:pPr>
      <w:r w:rsidRPr="00724797">
        <w:rPr>
          <w:rFonts w:cs="Arial"/>
          <w:b/>
          <w:szCs w:val="20"/>
        </w:rPr>
        <w:t>Praha</w:t>
      </w:r>
      <w:r w:rsidRPr="00832312">
        <w:rPr>
          <w:rFonts w:cs="Arial"/>
          <w:b/>
          <w:szCs w:val="20"/>
        </w:rPr>
        <w:t xml:space="preserve">, </w:t>
      </w:r>
      <w:r w:rsidR="00475FD2">
        <w:rPr>
          <w:rFonts w:cs="Arial"/>
          <w:b/>
          <w:szCs w:val="20"/>
        </w:rPr>
        <w:t>27</w:t>
      </w:r>
      <w:r w:rsidRPr="00832312">
        <w:rPr>
          <w:rFonts w:cs="Arial"/>
          <w:b/>
          <w:szCs w:val="20"/>
        </w:rPr>
        <w:t>.</w:t>
      </w:r>
      <w:r w:rsidR="00F37617" w:rsidRPr="00832312">
        <w:rPr>
          <w:rFonts w:cs="Arial"/>
          <w:b/>
          <w:szCs w:val="20"/>
        </w:rPr>
        <w:t xml:space="preserve"> </w:t>
      </w:r>
      <w:r w:rsidR="00FD3A3A" w:rsidRPr="00832312">
        <w:rPr>
          <w:rFonts w:cs="Arial"/>
          <w:b/>
          <w:szCs w:val="20"/>
        </w:rPr>
        <w:t>dub</w:t>
      </w:r>
      <w:r w:rsidR="00FF40D4" w:rsidRPr="00832312">
        <w:rPr>
          <w:rFonts w:cs="Arial"/>
          <w:b/>
          <w:szCs w:val="20"/>
        </w:rPr>
        <w:t>na</w:t>
      </w:r>
      <w:r w:rsidRPr="00832312">
        <w:rPr>
          <w:rFonts w:cs="Arial"/>
          <w:b/>
          <w:szCs w:val="20"/>
        </w:rPr>
        <w:t xml:space="preserve"> 2017</w:t>
      </w:r>
      <w:r w:rsidRPr="00724797">
        <w:rPr>
          <w:rFonts w:cs="Arial"/>
          <w:b/>
          <w:szCs w:val="20"/>
        </w:rPr>
        <w:t xml:space="preserve"> –</w:t>
      </w:r>
      <w:r w:rsidR="00826974" w:rsidRPr="00826974">
        <w:rPr>
          <w:rFonts w:cs="Arial"/>
          <w:b/>
          <w:szCs w:val="20"/>
        </w:rPr>
        <w:t xml:space="preserve"> </w:t>
      </w:r>
      <w:r w:rsidR="005978E4" w:rsidRPr="00AA74D3">
        <w:rPr>
          <w:rFonts w:cs="Arial"/>
          <w:b/>
          <w:szCs w:val="20"/>
        </w:rPr>
        <w:t>I přes velkou konkurenci na bankovním trhu a nízké úrokové sazby se Sberbank CZ</w:t>
      </w:r>
      <w:r w:rsidR="00B934B3">
        <w:rPr>
          <w:rFonts w:cs="Arial"/>
          <w:b/>
          <w:szCs w:val="20"/>
        </w:rPr>
        <w:t xml:space="preserve"> loni dařilo zlepšovat hospodářské výsledky. </w:t>
      </w:r>
      <w:r w:rsidR="00C81348">
        <w:rPr>
          <w:rFonts w:cs="Arial"/>
          <w:b/>
          <w:szCs w:val="20"/>
        </w:rPr>
        <w:t>Výrazně k nim přispěly</w:t>
      </w:r>
      <w:r w:rsidR="000E0425">
        <w:rPr>
          <w:rFonts w:cs="Arial"/>
          <w:b/>
          <w:szCs w:val="20"/>
        </w:rPr>
        <w:t xml:space="preserve"> rekordní objemy poskytnutých spotřebitelských a hypotečních úvěrů.</w:t>
      </w:r>
      <w:r w:rsidR="008D3DB4">
        <w:rPr>
          <w:rFonts w:cs="Arial"/>
          <w:b/>
          <w:szCs w:val="20"/>
        </w:rPr>
        <w:t xml:space="preserve"> </w:t>
      </w:r>
      <w:r w:rsidR="008E6E49">
        <w:rPr>
          <w:rFonts w:cs="Arial"/>
          <w:b/>
          <w:szCs w:val="20"/>
        </w:rPr>
        <w:t xml:space="preserve">Na </w:t>
      </w:r>
      <w:r w:rsidR="005978E4" w:rsidRPr="00AA74D3">
        <w:rPr>
          <w:rFonts w:cs="Arial"/>
          <w:b/>
          <w:szCs w:val="20"/>
        </w:rPr>
        <w:t>FÉR produkty</w:t>
      </w:r>
      <w:r w:rsidR="00B934B3">
        <w:rPr>
          <w:rFonts w:cs="Arial"/>
          <w:b/>
          <w:szCs w:val="20"/>
        </w:rPr>
        <w:t xml:space="preserve"> postavené na jednoduchých podm</w:t>
      </w:r>
      <w:r w:rsidR="000E0425">
        <w:rPr>
          <w:rFonts w:cs="Arial"/>
          <w:b/>
          <w:szCs w:val="20"/>
        </w:rPr>
        <w:t xml:space="preserve">ínkách a transparentních cenách </w:t>
      </w:r>
      <w:r w:rsidR="008E6E49">
        <w:rPr>
          <w:rFonts w:cs="Arial"/>
          <w:b/>
          <w:szCs w:val="20"/>
        </w:rPr>
        <w:t>klienti slyší.</w:t>
      </w:r>
    </w:p>
    <w:p w14:paraId="33690E48" w14:textId="4ED7E832" w:rsidR="008607B7" w:rsidRPr="00AA74D3" w:rsidRDefault="008607B7" w:rsidP="008607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r w:rsidRPr="00AA74D3">
        <w:rPr>
          <w:rFonts w:ascii="Arial" w:hAnsi="Arial" w:cs="Arial"/>
          <w:sz w:val="20"/>
          <w:szCs w:val="20"/>
        </w:rPr>
        <w:t>V roce 2016 Sberbank CZ dosáhla</w:t>
      </w:r>
      <w:r w:rsidRPr="00AA74D3">
        <w:rPr>
          <w:rFonts w:ascii="Arial" w:hAnsi="Arial" w:cs="Arial"/>
          <w:b/>
          <w:sz w:val="20"/>
          <w:szCs w:val="20"/>
        </w:rPr>
        <w:t xml:space="preserve"> zisk</w:t>
      </w:r>
      <w:r w:rsidR="008A7333">
        <w:rPr>
          <w:rFonts w:ascii="Arial" w:hAnsi="Arial" w:cs="Arial"/>
          <w:b/>
          <w:sz w:val="20"/>
          <w:szCs w:val="20"/>
        </w:rPr>
        <w:t>u</w:t>
      </w:r>
      <w:r w:rsidRPr="00AA74D3">
        <w:rPr>
          <w:rFonts w:ascii="Arial" w:hAnsi="Arial" w:cs="Arial"/>
          <w:b/>
          <w:sz w:val="20"/>
          <w:szCs w:val="20"/>
        </w:rPr>
        <w:t xml:space="preserve"> po zdanění ve výši 272 mil. Kč.</w:t>
      </w:r>
    </w:p>
    <w:p w14:paraId="6055B858" w14:textId="77777777" w:rsidR="008607B7" w:rsidRPr="00AA74D3" w:rsidRDefault="008607B7" w:rsidP="008607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AA74D3">
        <w:rPr>
          <w:rFonts w:ascii="Arial" w:hAnsi="Arial" w:cs="Arial"/>
          <w:b/>
          <w:sz w:val="20"/>
          <w:szCs w:val="20"/>
        </w:rPr>
        <w:t>Počet aktivních klientů</w:t>
      </w:r>
      <w:r w:rsidRPr="00AA74D3">
        <w:rPr>
          <w:rFonts w:ascii="Arial" w:hAnsi="Arial" w:cs="Arial"/>
          <w:sz w:val="20"/>
          <w:szCs w:val="20"/>
        </w:rPr>
        <w:t xml:space="preserve"> v loňském roce </w:t>
      </w:r>
      <w:r w:rsidRPr="00AA74D3">
        <w:rPr>
          <w:rFonts w:ascii="Arial" w:hAnsi="Arial" w:cs="Arial"/>
          <w:b/>
          <w:sz w:val="20"/>
          <w:szCs w:val="20"/>
        </w:rPr>
        <w:t>vzrostl o 8 % na 108 tisíc</w:t>
      </w:r>
      <w:r w:rsidRPr="00AA74D3">
        <w:rPr>
          <w:rFonts w:ascii="Arial" w:hAnsi="Arial" w:cs="Arial"/>
          <w:sz w:val="20"/>
          <w:szCs w:val="20"/>
        </w:rPr>
        <w:t xml:space="preserve">, nárůst banka zaznamenala ve všech zákaznických segmentech. </w:t>
      </w:r>
    </w:p>
    <w:p w14:paraId="538E0027" w14:textId="2DC4193F" w:rsidR="008607B7" w:rsidRPr="00AA74D3" w:rsidRDefault="008607B7" w:rsidP="008607B7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A74D3">
        <w:rPr>
          <w:rFonts w:ascii="Arial" w:hAnsi="Arial" w:cs="Arial"/>
          <w:sz w:val="20"/>
          <w:szCs w:val="20"/>
        </w:rPr>
        <w:t xml:space="preserve">Celkový </w:t>
      </w:r>
      <w:r w:rsidRPr="00AA74D3">
        <w:rPr>
          <w:rFonts w:ascii="Arial" w:hAnsi="Arial" w:cs="Arial"/>
          <w:b/>
          <w:sz w:val="20"/>
          <w:szCs w:val="20"/>
        </w:rPr>
        <w:t>objem klientských úvěrů se zvýšil o 9,5 % na 55,61 mld. Kč</w:t>
      </w:r>
      <w:r w:rsidRPr="00AA74D3">
        <w:rPr>
          <w:rFonts w:ascii="Arial" w:hAnsi="Arial" w:cs="Arial"/>
          <w:sz w:val="20"/>
          <w:szCs w:val="20"/>
        </w:rPr>
        <w:t>, především díky rekordnímu prodeji spotřebitelských a hypotéčních úvěrů</w:t>
      </w:r>
      <w:r w:rsidR="008A7333">
        <w:rPr>
          <w:rFonts w:ascii="Arial" w:hAnsi="Arial" w:cs="Arial"/>
          <w:sz w:val="20"/>
          <w:szCs w:val="20"/>
        </w:rPr>
        <w:t>,</w:t>
      </w:r>
      <w:r w:rsidRPr="00AA74D3">
        <w:rPr>
          <w:rFonts w:ascii="Arial" w:hAnsi="Arial" w:cs="Arial"/>
          <w:sz w:val="20"/>
          <w:szCs w:val="20"/>
        </w:rPr>
        <w:t xml:space="preserve"> </w:t>
      </w:r>
      <w:r w:rsidR="008A7333">
        <w:rPr>
          <w:rFonts w:ascii="Arial" w:hAnsi="Arial" w:cs="Arial"/>
          <w:sz w:val="20"/>
          <w:szCs w:val="20"/>
        </w:rPr>
        <w:t xml:space="preserve">ale </w:t>
      </w:r>
      <w:r w:rsidRPr="00AA74D3">
        <w:rPr>
          <w:rFonts w:ascii="Arial" w:hAnsi="Arial" w:cs="Arial"/>
          <w:sz w:val="20"/>
          <w:szCs w:val="20"/>
        </w:rPr>
        <w:t>i úspěšnému prodeji úvěrů</w:t>
      </w:r>
      <w:r w:rsidR="008A7333">
        <w:rPr>
          <w:rFonts w:ascii="Arial" w:hAnsi="Arial" w:cs="Arial"/>
          <w:sz w:val="20"/>
          <w:szCs w:val="20"/>
        </w:rPr>
        <w:t xml:space="preserve"> firemní klientele.</w:t>
      </w:r>
      <w:r w:rsidRPr="00AA74D3">
        <w:rPr>
          <w:rFonts w:ascii="Arial" w:hAnsi="Arial" w:cs="Arial"/>
          <w:sz w:val="20"/>
          <w:szCs w:val="20"/>
        </w:rPr>
        <w:t xml:space="preserve"> </w:t>
      </w:r>
    </w:p>
    <w:p w14:paraId="09A8BF7F" w14:textId="2685664E" w:rsidR="008607B7" w:rsidRDefault="008607B7" w:rsidP="008607B7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A74D3">
        <w:rPr>
          <w:rFonts w:ascii="Arial" w:hAnsi="Arial" w:cs="Arial"/>
          <w:b/>
          <w:sz w:val="20"/>
          <w:szCs w:val="20"/>
        </w:rPr>
        <w:t>Objem klientských depozit</w:t>
      </w:r>
      <w:r w:rsidRPr="00AA74D3">
        <w:rPr>
          <w:rFonts w:ascii="Arial" w:hAnsi="Arial" w:cs="Arial"/>
          <w:sz w:val="20"/>
          <w:szCs w:val="20"/>
        </w:rPr>
        <w:t xml:space="preserve"> zůstal meziročně stabilní ve výši 59,05 mld. Kč, čímž se bance podařilo dosáhnout </w:t>
      </w:r>
      <w:r w:rsidRPr="00AA74D3">
        <w:rPr>
          <w:rFonts w:ascii="Arial" w:hAnsi="Arial" w:cs="Arial"/>
          <w:b/>
          <w:sz w:val="20"/>
          <w:szCs w:val="20"/>
        </w:rPr>
        <w:t>optimální úrovně podílu úvěrů na depozitech</w:t>
      </w:r>
      <w:r w:rsidRPr="00AA74D3">
        <w:rPr>
          <w:rFonts w:ascii="Arial" w:hAnsi="Arial" w:cs="Arial"/>
          <w:sz w:val="20"/>
          <w:szCs w:val="20"/>
        </w:rPr>
        <w:t xml:space="preserve">. </w:t>
      </w:r>
    </w:p>
    <w:p w14:paraId="51FF9A35" w14:textId="31D059E1" w:rsidR="00767B7C" w:rsidRPr="0045403D" w:rsidRDefault="006A3EB7" w:rsidP="008607B7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403D">
        <w:rPr>
          <w:rFonts w:ascii="Arial" w:hAnsi="Arial" w:cs="Arial"/>
          <w:sz w:val="20"/>
          <w:szCs w:val="20"/>
        </w:rPr>
        <w:t>Banka udržuje svůj</w:t>
      </w:r>
      <w:r w:rsidRPr="0045403D">
        <w:rPr>
          <w:rFonts w:ascii="Arial" w:hAnsi="Arial" w:cs="Arial"/>
          <w:b/>
          <w:sz w:val="20"/>
          <w:szCs w:val="20"/>
        </w:rPr>
        <w:t xml:space="preserve"> vysoce stabilní profil</w:t>
      </w:r>
      <w:r w:rsidR="00767B7C" w:rsidRPr="0045403D">
        <w:rPr>
          <w:rFonts w:ascii="Arial" w:hAnsi="Arial" w:cs="Arial"/>
          <w:b/>
          <w:sz w:val="20"/>
          <w:szCs w:val="20"/>
        </w:rPr>
        <w:t>:</w:t>
      </w:r>
      <w:r w:rsidR="00767B7C" w:rsidRPr="0045403D">
        <w:rPr>
          <w:rFonts w:ascii="Arial" w:hAnsi="Arial" w:cs="Arial"/>
          <w:sz w:val="20"/>
          <w:szCs w:val="20"/>
        </w:rPr>
        <w:t xml:space="preserve"> náklady rizika poklesly na 0,4</w:t>
      </w:r>
      <w:r w:rsidR="004F3FF1" w:rsidRPr="0045403D">
        <w:rPr>
          <w:rFonts w:ascii="Arial" w:hAnsi="Arial" w:cs="Arial"/>
          <w:sz w:val="20"/>
          <w:szCs w:val="20"/>
        </w:rPr>
        <w:t xml:space="preserve"> </w:t>
      </w:r>
      <w:r w:rsidR="00767B7C" w:rsidRPr="0045403D">
        <w:rPr>
          <w:rFonts w:ascii="Arial" w:hAnsi="Arial" w:cs="Arial"/>
          <w:sz w:val="20"/>
          <w:szCs w:val="20"/>
        </w:rPr>
        <w:t xml:space="preserve">%; </w:t>
      </w:r>
      <w:proofErr w:type="spellStart"/>
      <w:r w:rsidR="00767B7C" w:rsidRPr="0045403D">
        <w:rPr>
          <w:rFonts w:ascii="Arial" w:hAnsi="Arial" w:cs="Arial"/>
          <w:sz w:val="20"/>
          <w:szCs w:val="20"/>
        </w:rPr>
        <w:t>Tier</w:t>
      </w:r>
      <w:proofErr w:type="spellEnd"/>
      <w:r w:rsidR="00767B7C" w:rsidRPr="0045403D">
        <w:rPr>
          <w:rFonts w:ascii="Arial" w:hAnsi="Arial" w:cs="Arial"/>
          <w:sz w:val="20"/>
          <w:szCs w:val="20"/>
        </w:rPr>
        <w:t xml:space="preserve"> 1 kapitálová přiměřenost dosáhla 16,2</w:t>
      </w:r>
      <w:r w:rsidR="004F3FF1" w:rsidRPr="0045403D">
        <w:rPr>
          <w:rFonts w:ascii="Arial" w:hAnsi="Arial" w:cs="Arial"/>
          <w:sz w:val="20"/>
          <w:szCs w:val="20"/>
        </w:rPr>
        <w:t xml:space="preserve"> </w:t>
      </w:r>
      <w:r w:rsidR="00767B7C" w:rsidRPr="0045403D">
        <w:rPr>
          <w:rFonts w:ascii="Arial" w:hAnsi="Arial" w:cs="Arial"/>
          <w:sz w:val="20"/>
          <w:szCs w:val="20"/>
        </w:rPr>
        <w:t>%; likviditní ukazatel LCR se po celý rok držel nad 130</w:t>
      </w:r>
      <w:r w:rsidR="004F3FF1" w:rsidRPr="0045403D">
        <w:rPr>
          <w:rFonts w:ascii="Arial" w:hAnsi="Arial" w:cs="Arial"/>
          <w:sz w:val="20"/>
          <w:szCs w:val="20"/>
        </w:rPr>
        <w:t xml:space="preserve"> </w:t>
      </w:r>
      <w:r w:rsidR="00767B7C" w:rsidRPr="0045403D">
        <w:rPr>
          <w:rFonts w:ascii="Arial" w:hAnsi="Arial" w:cs="Arial"/>
          <w:sz w:val="20"/>
          <w:szCs w:val="20"/>
        </w:rPr>
        <w:t>%</w:t>
      </w:r>
      <w:r w:rsidR="004F3FF1" w:rsidRPr="0045403D">
        <w:rPr>
          <w:rFonts w:ascii="Arial" w:hAnsi="Arial" w:cs="Arial"/>
          <w:sz w:val="20"/>
          <w:szCs w:val="20"/>
        </w:rPr>
        <w:t>.</w:t>
      </w:r>
    </w:p>
    <w:p w14:paraId="29C7311F" w14:textId="57094C18" w:rsidR="008607B7" w:rsidRPr="008607B7" w:rsidRDefault="008607B7" w:rsidP="00826974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A74D3">
        <w:rPr>
          <w:rFonts w:ascii="Arial" w:hAnsi="Arial" w:cs="Arial"/>
          <w:sz w:val="20"/>
          <w:szCs w:val="20"/>
        </w:rPr>
        <w:t xml:space="preserve">I loni se Sberbank CZ umístila mezi </w:t>
      </w:r>
      <w:r w:rsidR="008A7333">
        <w:rPr>
          <w:rFonts w:ascii="Arial" w:hAnsi="Arial" w:cs="Arial"/>
          <w:sz w:val="20"/>
          <w:szCs w:val="20"/>
        </w:rPr>
        <w:t>třemi</w:t>
      </w:r>
      <w:r w:rsidRPr="00AA74D3">
        <w:rPr>
          <w:rFonts w:ascii="Arial" w:hAnsi="Arial" w:cs="Arial"/>
          <w:sz w:val="20"/>
          <w:szCs w:val="20"/>
        </w:rPr>
        <w:t xml:space="preserve"> klientsky nejpřívětivějšími bankami, když získala 2. místo v kategorii </w:t>
      </w:r>
      <w:r w:rsidRPr="00AA74D3">
        <w:rPr>
          <w:rFonts w:ascii="Arial" w:hAnsi="Arial" w:cs="Arial"/>
          <w:b/>
          <w:sz w:val="20"/>
          <w:szCs w:val="20"/>
        </w:rPr>
        <w:t>Klientsky nejpřívětivější banka</w:t>
      </w:r>
      <w:r w:rsidRPr="00AA74D3">
        <w:rPr>
          <w:rFonts w:ascii="Arial" w:hAnsi="Arial" w:cs="Arial"/>
          <w:sz w:val="20"/>
          <w:szCs w:val="20"/>
        </w:rPr>
        <w:t xml:space="preserve"> soutěže Nejlepší banka 2016. </w:t>
      </w:r>
    </w:p>
    <w:p w14:paraId="59B43EC3" w14:textId="1C39019D" w:rsidR="008607B7" w:rsidRPr="00444AA2" w:rsidRDefault="008607B7" w:rsidP="008607B7">
      <w:pPr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br/>
      </w:r>
      <w:r w:rsidRPr="008607B7">
        <w:rPr>
          <w:rFonts w:cs="Arial"/>
          <w:i/>
          <w:szCs w:val="20"/>
        </w:rPr>
        <w:t xml:space="preserve">„Za </w:t>
      </w:r>
      <w:r w:rsidR="00E054F6">
        <w:rPr>
          <w:rFonts w:cs="Arial"/>
          <w:i/>
          <w:szCs w:val="20"/>
        </w:rPr>
        <w:t>pozitivními</w:t>
      </w:r>
      <w:r w:rsidR="00E054F6" w:rsidRPr="008607B7">
        <w:rPr>
          <w:rFonts w:cs="Arial"/>
          <w:i/>
          <w:szCs w:val="20"/>
        </w:rPr>
        <w:t xml:space="preserve"> </w:t>
      </w:r>
      <w:r w:rsidRPr="008607B7">
        <w:rPr>
          <w:rFonts w:cs="Arial"/>
          <w:i/>
          <w:szCs w:val="20"/>
        </w:rPr>
        <w:t>obchodními výsledky stojí</w:t>
      </w:r>
      <w:r w:rsidR="000E0425">
        <w:rPr>
          <w:rFonts w:cs="Arial"/>
          <w:i/>
          <w:szCs w:val="20"/>
        </w:rPr>
        <w:t xml:space="preserve"> naše vstřícnost k zákazníkovi a s tím spojený</w:t>
      </w:r>
      <w:r w:rsidR="00444AA2">
        <w:rPr>
          <w:rFonts w:cs="Arial"/>
          <w:i/>
          <w:szCs w:val="20"/>
        </w:rPr>
        <w:t xml:space="preserve"> </w:t>
      </w:r>
      <w:r w:rsidR="00E054F6" w:rsidRPr="008607B7">
        <w:rPr>
          <w:rFonts w:cs="Arial"/>
          <w:i/>
          <w:szCs w:val="20"/>
        </w:rPr>
        <w:t xml:space="preserve">rozvoj konceptu FÉR produktů s jednoduchými podmínkami, jasnými cenami a </w:t>
      </w:r>
      <w:r w:rsidR="00E054F6" w:rsidRPr="00444AA2">
        <w:rPr>
          <w:rFonts w:cs="Arial"/>
          <w:i/>
          <w:szCs w:val="20"/>
        </w:rPr>
        <w:t>bez poplatků</w:t>
      </w:r>
      <w:r w:rsidR="00E054F6">
        <w:rPr>
          <w:rFonts w:cs="Arial"/>
          <w:i/>
          <w:szCs w:val="20"/>
        </w:rPr>
        <w:t xml:space="preserve">,“ </w:t>
      </w:r>
      <w:r w:rsidR="00E054F6">
        <w:rPr>
          <w:rFonts w:cs="Arial"/>
          <w:szCs w:val="20"/>
        </w:rPr>
        <w:t>komentuje výsledky</w:t>
      </w:r>
      <w:r w:rsidRPr="008607B7">
        <w:rPr>
          <w:rFonts w:cs="Arial"/>
          <w:szCs w:val="20"/>
        </w:rPr>
        <w:t xml:space="preserve"> Vladimír Šolc, generální ředitel a předse</w:t>
      </w:r>
      <w:r>
        <w:rPr>
          <w:rFonts w:cs="Arial"/>
          <w:szCs w:val="20"/>
        </w:rPr>
        <w:t xml:space="preserve">da představenstva Sberbank CZ. </w:t>
      </w:r>
      <w:r w:rsidRPr="008607B7">
        <w:rPr>
          <w:rFonts w:cs="Arial"/>
          <w:szCs w:val="20"/>
        </w:rPr>
        <w:t xml:space="preserve">Vloni banka pro své klienty </w:t>
      </w:r>
      <w:r w:rsidR="00E054F6">
        <w:rPr>
          <w:rFonts w:cs="Arial"/>
          <w:szCs w:val="20"/>
        </w:rPr>
        <w:t xml:space="preserve">například </w:t>
      </w:r>
      <w:r w:rsidRPr="008607B7">
        <w:rPr>
          <w:rFonts w:cs="Arial"/>
          <w:szCs w:val="20"/>
        </w:rPr>
        <w:t>výrazně zjednodušila poskytování hypoték včetně</w:t>
      </w:r>
      <w:r w:rsidR="00E054F6">
        <w:rPr>
          <w:rFonts w:cs="Arial"/>
          <w:szCs w:val="20"/>
        </w:rPr>
        <w:t xml:space="preserve"> jejich</w:t>
      </w:r>
      <w:r w:rsidRPr="008607B7">
        <w:rPr>
          <w:rFonts w:cs="Arial"/>
          <w:szCs w:val="20"/>
        </w:rPr>
        <w:t xml:space="preserve"> refinancování. U </w:t>
      </w:r>
      <w:r w:rsidRPr="008607B7">
        <w:rPr>
          <w:rFonts w:cs="Arial"/>
          <w:color w:val="000000"/>
          <w:szCs w:val="20"/>
        </w:rPr>
        <w:t>FÉR půjčky banka zase představila nový benefit – garanci nejvýhodnější sazby, kterou poskytuje nejen u spotřebitelských půjček, ale i při financování podnikatel</w:t>
      </w:r>
      <w:r w:rsidR="00E054F6">
        <w:rPr>
          <w:rFonts w:cs="Arial"/>
          <w:color w:val="000000"/>
          <w:szCs w:val="20"/>
        </w:rPr>
        <w:t>ských úvěrů</w:t>
      </w:r>
      <w:r w:rsidRPr="008607B7">
        <w:rPr>
          <w:rFonts w:cs="Arial"/>
          <w:color w:val="000000"/>
          <w:szCs w:val="20"/>
        </w:rPr>
        <w:t>.</w:t>
      </w:r>
      <w:r w:rsidRPr="008607B7">
        <w:rPr>
          <w:rFonts w:cs="Arial"/>
          <w:szCs w:val="20"/>
        </w:rPr>
        <w:t xml:space="preserve"> </w:t>
      </w:r>
      <w:r w:rsidRPr="008607B7">
        <w:rPr>
          <w:rFonts w:cs="Arial"/>
          <w:i/>
          <w:szCs w:val="20"/>
        </w:rPr>
        <w:t xml:space="preserve">„Rekordní objemy poskytnutých hypotéčních i spotřebitelských úvěrů potvrzují, že klienti nad nabídkou bank přemýšlejí a </w:t>
      </w:r>
      <w:r w:rsidR="004D0DD5" w:rsidRPr="00336E49">
        <w:rPr>
          <w:rFonts w:cs="Arial"/>
          <w:i/>
          <w:szCs w:val="20"/>
        </w:rPr>
        <w:t xml:space="preserve">rozhodují se pro </w:t>
      </w:r>
      <w:r w:rsidR="00444AA2" w:rsidRPr="00336E49">
        <w:rPr>
          <w:rFonts w:cs="Arial"/>
          <w:i/>
          <w:szCs w:val="20"/>
        </w:rPr>
        <w:t>to, co jim dává smysl,“</w:t>
      </w:r>
      <w:r w:rsidR="00E054F6">
        <w:rPr>
          <w:rFonts w:cs="Arial"/>
          <w:i/>
          <w:szCs w:val="20"/>
        </w:rPr>
        <w:t xml:space="preserve"> </w:t>
      </w:r>
      <w:r w:rsidRPr="008607B7">
        <w:rPr>
          <w:rFonts w:cs="Arial"/>
          <w:szCs w:val="20"/>
        </w:rPr>
        <w:t xml:space="preserve">zdůrazňuje Vladimír Šolc. </w:t>
      </w:r>
    </w:p>
    <w:p w14:paraId="72D8AA22" w14:textId="77777777" w:rsidR="008607B7" w:rsidRPr="008607B7" w:rsidRDefault="008607B7" w:rsidP="008607B7">
      <w:pPr>
        <w:spacing w:after="0" w:line="240" w:lineRule="auto"/>
        <w:jc w:val="both"/>
        <w:rPr>
          <w:rFonts w:cs="Arial"/>
          <w:szCs w:val="20"/>
        </w:rPr>
      </w:pPr>
    </w:p>
    <w:p w14:paraId="7D03DEBF" w14:textId="77777777" w:rsidR="008607B7" w:rsidRPr="008607B7" w:rsidRDefault="008607B7" w:rsidP="008607B7">
      <w:pPr>
        <w:spacing w:after="0" w:line="240" w:lineRule="auto"/>
        <w:jc w:val="both"/>
        <w:rPr>
          <w:rFonts w:cs="Arial"/>
          <w:szCs w:val="20"/>
        </w:rPr>
      </w:pPr>
      <w:r w:rsidRPr="00444AA2">
        <w:rPr>
          <w:rFonts w:cs="Arial"/>
          <w:szCs w:val="20"/>
        </w:rPr>
        <w:t xml:space="preserve">Loňských výsledků Sberbank CZ dosáhla i díky </w:t>
      </w:r>
      <w:r w:rsidRPr="00444AA2">
        <w:rPr>
          <w:rFonts w:cs="FedraSansPro-MediumLF"/>
          <w:szCs w:val="20"/>
        </w:rPr>
        <w:t>optimalizaci nákladů na zdroje financování, nízkým rizikovým nákladům a důsledné kontrole provozních nákladů</w:t>
      </w:r>
      <w:r w:rsidRPr="00444AA2">
        <w:rPr>
          <w:rFonts w:cs="FedraSansPro-MediumLF"/>
          <w:b/>
          <w:szCs w:val="20"/>
        </w:rPr>
        <w:t>.</w:t>
      </w:r>
    </w:p>
    <w:p w14:paraId="18854418" w14:textId="77777777" w:rsidR="008607B7" w:rsidRPr="008607B7" w:rsidRDefault="008607B7" w:rsidP="008607B7">
      <w:pPr>
        <w:shd w:val="clear" w:color="auto" w:fill="FFFFFF" w:themeFill="background1"/>
        <w:spacing w:after="0" w:line="240" w:lineRule="auto"/>
        <w:jc w:val="both"/>
        <w:rPr>
          <w:rFonts w:cs="Arial"/>
          <w:szCs w:val="20"/>
        </w:rPr>
      </w:pPr>
    </w:p>
    <w:p w14:paraId="4B920630" w14:textId="5F8F547C" w:rsidR="008607B7" w:rsidRPr="008607B7" w:rsidRDefault="008607B7" w:rsidP="008607B7">
      <w:pPr>
        <w:shd w:val="clear" w:color="auto" w:fill="FFFFFF" w:themeFill="background1"/>
        <w:spacing w:after="0" w:line="240" w:lineRule="auto"/>
        <w:jc w:val="both"/>
        <w:rPr>
          <w:rFonts w:cs="Arial"/>
          <w:szCs w:val="20"/>
        </w:rPr>
      </w:pPr>
      <w:r w:rsidRPr="00A25149">
        <w:rPr>
          <w:rFonts w:cs="Arial"/>
          <w:i/>
          <w:szCs w:val="20"/>
        </w:rPr>
        <w:t>„V letošním roce</w:t>
      </w:r>
      <w:r w:rsidR="001519AC">
        <w:rPr>
          <w:rFonts w:cs="Arial"/>
          <w:i/>
          <w:szCs w:val="20"/>
        </w:rPr>
        <w:t xml:space="preserve"> </w:t>
      </w:r>
      <w:r w:rsidR="00444AA2">
        <w:rPr>
          <w:rFonts w:cs="Arial"/>
          <w:i/>
          <w:szCs w:val="20"/>
        </w:rPr>
        <w:t>p</w:t>
      </w:r>
      <w:r w:rsidR="001519AC">
        <w:rPr>
          <w:rFonts w:cs="Arial"/>
          <w:i/>
          <w:szCs w:val="20"/>
        </w:rPr>
        <w:t xml:space="preserve">řineseme další inovace </w:t>
      </w:r>
      <w:r w:rsidR="00444AA2">
        <w:rPr>
          <w:rFonts w:cs="Arial"/>
          <w:i/>
          <w:szCs w:val="20"/>
        </w:rPr>
        <w:t xml:space="preserve">produktů a služeb, jak pro </w:t>
      </w:r>
      <w:r w:rsidR="001519AC">
        <w:rPr>
          <w:rFonts w:cs="Arial"/>
          <w:i/>
          <w:szCs w:val="20"/>
        </w:rPr>
        <w:t xml:space="preserve">občany, tak pro podnikatele a firmy. </w:t>
      </w:r>
      <w:r w:rsidRPr="00A25149">
        <w:rPr>
          <w:rFonts w:cs="Arial"/>
          <w:i/>
          <w:szCs w:val="20"/>
        </w:rPr>
        <w:t xml:space="preserve">Podle </w:t>
      </w:r>
      <w:r w:rsidR="00336E49">
        <w:rPr>
          <w:rFonts w:cs="Arial"/>
          <w:i/>
          <w:szCs w:val="20"/>
        </w:rPr>
        <w:t xml:space="preserve">potřeb zákazníků už nyní připravujeme </w:t>
      </w:r>
      <w:r w:rsidRPr="00A25149">
        <w:rPr>
          <w:rFonts w:cs="Arial"/>
          <w:i/>
          <w:szCs w:val="20"/>
        </w:rPr>
        <w:t xml:space="preserve">nové internetové a mobilní bankovnictví. Další z našich strategických projektů se týká kartového </w:t>
      </w:r>
      <w:r w:rsidR="00A25149" w:rsidRPr="00A25149">
        <w:rPr>
          <w:rFonts w:cs="Arial"/>
          <w:i/>
          <w:szCs w:val="20"/>
        </w:rPr>
        <w:t>byznysu</w:t>
      </w:r>
      <w:r w:rsidR="00B807BF">
        <w:rPr>
          <w:rFonts w:cs="Arial"/>
          <w:i/>
          <w:szCs w:val="20"/>
        </w:rPr>
        <w:t>,</w:t>
      </w:r>
      <w:r w:rsidRPr="00A25149">
        <w:rPr>
          <w:rFonts w:cs="Arial"/>
          <w:i/>
          <w:szCs w:val="20"/>
        </w:rPr>
        <w:t xml:space="preserve">“ </w:t>
      </w:r>
      <w:r w:rsidR="00E054F6">
        <w:rPr>
          <w:rFonts w:cs="Arial"/>
          <w:szCs w:val="20"/>
        </w:rPr>
        <w:t>vyjmenovává</w:t>
      </w:r>
      <w:r w:rsidR="00E054F6" w:rsidRPr="008607B7">
        <w:rPr>
          <w:rFonts w:cs="Arial"/>
          <w:szCs w:val="20"/>
        </w:rPr>
        <w:t xml:space="preserve"> </w:t>
      </w:r>
      <w:r w:rsidR="00B807BF">
        <w:rPr>
          <w:rFonts w:cs="Arial"/>
          <w:szCs w:val="20"/>
        </w:rPr>
        <w:t>některé z</w:t>
      </w:r>
      <w:r w:rsidR="001519AC">
        <w:rPr>
          <w:rFonts w:cs="Arial"/>
          <w:szCs w:val="20"/>
        </w:rPr>
        <w:t xml:space="preserve"> priorit</w:t>
      </w:r>
      <w:r w:rsidRPr="008607B7">
        <w:rPr>
          <w:rFonts w:cs="Arial"/>
          <w:szCs w:val="20"/>
        </w:rPr>
        <w:t xml:space="preserve"> Sberbank CZ její generální ředitel Vladimír Šolc.</w:t>
      </w:r>
    </w:p>
    <w:p w14:paraId="3C04457E" w14:textId="77777777" w:rsidR="008607B7" w:rsidRPr="008607B7" w:rsidRDefault="008607B7" w:rsidP="008607B7">
      <w:pPr>
        <w:tabs>
          <w:tab w:val="left" w:pos="1701"/>
          <w:tab w:val="left" w:pos="3261"/>
          <w:tab w:val="left" w:pos="5103"/>
        </w:tabs>
        <w:spacing w:after="0" w:line="240" w:lineRule="auto"/>
        <w:rPr>
          <w:rFonts w:cs="Arial"/>
          <w:szCs w:val="20"/>
        </w:rPr>
      </w:pPr>
    </w:p>
    <w:p w14:paraId="5D0E05FA" w14:textId="77777777" w:rsidR="000F44C6" w:rsidRPr="000F44C6" w:rsidRDefault="000F44C6" w:rsidP="000F44C6">
      <w:pPr>
        <w:tabs>
          <w:tab w:val="left" w:pos="1701"/>
          <w:tab w:val="left" w:pos="3261"/>
          <w:tab w:val="left" w:pos="5103"/>
        </w:tabs>
        <w:spacing w:after="0" w:line="240" w:lineRule="auto"/>
        <w:rPr>
          <w:rFonts w:cs="Arial"/>
          <w:szCs w:val="20"/>
        </w:rPr>
      </w:pPr>
    </w:p>
    <w:bookmarkEnd w:id="0"/>
    <w:p w14:paraId="7F9BC3CE" w14:textId="77777777" w:rsidR="001D3FC4" w:rsidRPr="00127CCF" w:rsidRDefault="00FE021E" w:rsidP="00FE021E">
      <w:pPr>
        <w:tabs>
          <w:tab w:val="left" w:pos="5103"/>
        </w:tabs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Jan Marek</w:t>
      </w:r>
      <w:r>
        <w:rPr>
          <w:rFonts w:cs="Arial"/>
          <w:b/>
          <w:szCs w:val="20"/>
        </w:rPr>
        <w:br/>
      </w:r>
      <w:r>
        <w:rPr>
          <w:rFonts w:cs="Arial"/>
          <w:szCs w:val="20"/>
        </w:rPr>
        <w:t>mluvčí</w:t>
      </w:r>
      <w:r w:rsidR="001D3FC4" w:rsidRPr="00127CCF">
        <w:rPr>
          <w:rFonts w:cs="Arial"/>
          <w:szCs w:val="20"/>
        </w:rPr>
        <w:t xml:space="preserve"> Sberbank CZ</w:t>
      </w:r>
    </w:p>
    <w:p w14:paraId="15B3B9A3" w14:textId="77777777" w:rsidR="001D3FC4" w:rsidRPr="004D6FD7" w:rsidRDefault="0095080D" w:rsidP="00F84DCC">
      <w:pPr>
        <w:tabs>
          <w:tab w:val="left" w:pos="5103"/>
        </w:tabs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T</w:t>
      </w:r>
      <w:r w:rsidR="001D3FC4" w:rsidRPr="0095080D">
        <w:rPr>
          <w:rFonts w:cs="Arial"/>
          <w:b/>
          <w:szCs w:val="20"/>
        </w:rPr>
        <w:t>:</w:t>
      </w:r>
      <w:r w:rsidR="001D3FC4" w:rsidRPr="00127CCF">
        <w:rPr>
          <w:rFonts w:cs="Arial"/>
          <w:szCs w:val="20"/>
        </w:rPr>
        <w:t xml:space="preserve"> </w:t>
      </w:r>
      <w:r w:rsidR="001D3FC4" w:rsidRPr="00127CCF">
        <w:rPr>
          <w:rFonts w:cs="Arial"/>
          <w:szCs w:val="20"/>
          <w:lang w:eastAsia="cs-CZ"/>
        </w:rPr>
        <w:t>234 706 837</w:t>
      </w:r>
      <w:r w:rsidR="001D3FC4" w:rsidRPr="00127CCF">
        <w:rPr>
          <w:rFonts w:cs="Arial"/>
          <w:szCs w:val="20"/>
        </w:rPr>
        <w:t xml:space="preserve">, </w:t>
      </w:r>
      <w:r w:rsidR="00FE021E">
        <w:rPr>
          <w:rFonts w:cs="Arial"/>
          <w:szCs w:val="20"/>
          <w:lang w:eastAsia="cs-CZ"/>
        </w:rPr>
        <w:t>725 895 111</w:t>
      </w:r>
    </w:p>
    <w:p w14:paraId="2AE5692C" w14:textId="77777777" w:rsidR="001D3FC4" w:rsidRPr="00127CCF" w:rsidRDefault="0095080D" w:rsidP="00F84DCC">
      <w:pPr>
        <w:tabs>
          <w:tab w:val="left" w:pos="5103"/>
        </w:tabs>
        <w:spacing w:after="0"/>
        <w:ind w:right="-108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E</w:t>
      </w:r>
      <w:r w:rsidR="001D3FC4" w:rsidRPr="00127CCF">
        <w:rPr>
          <w:rFonts w:cs="Arial"/>
          <w:b/>
          <w:szCs w:val="20"/>
        </w:rPr>
        <w:t>:</w:t>
      </w:r>
      <w:r w:rsidR="001D3FC4" w:rsidRPr="00127CCF">
        <w:rPr>
          <w:rFonts w:cs="Arial"/>
          <w:szCs w:val="20"/>
        </w:rPr>
        <w:t xml:space="preserve"> </w:t>
      </w:r>
      <w:r w:rsidR="00FE021E">
        <w:rPr>
          <w:rFonts w:cs="Arial"/>
          <w:szCs w:val="20"/>
        </w:rPr>
        <w:t>marek.jan</w:t>
      </w:r>
      <w:r w:rsidR="001D3FC4" w:rsidRPr="00127CCF">
        <w:rPr>
          <w:rFonts w:cs="Arial"/>
          <w:szCs w:val="20"/>
        </w:rPr>
        <w:t>@sberbankcz.cz</w:t>
      </w:r>
    </w:p>
    <w:p w14:paraId="3E009759" w14:textId="77777777" w:rsidR="001D3FC4" w:rsidRDefault="00862191" w:rsidP="00F84DCC">
      <w:pPr>
        <w:tabs>
          <w:tab w:val="left" w:pos="5103"/>
        </w:tabs>
        <w:contextualSpacing/>
        <w:jc w:val="both"/>
      </w:pPr>
      <w:hyperlink r:id="rId8" w:history="1">
        <w:r w:rsidR="00E326A2" w:rsidRPr="00E0393F">
          <w:rPr>
            <w:rStyle w:val="Hypertextovodkaz"/>
            <w:b/>
            <w:szCs w:val="20"/>
          </w:rPr>
          <w:t>www.sberbank.cz</w:t>
        </w:r>
      </w:hyperlink>
    </w:p>
    <w:p w14:paraId="37BB0D6B" w14:textId="77777777" w:rsidR="001D3FC4" w:rsidRPr="00836A71" w:rsidRDefault="00862191" w:rsidP="00836A71">
      <w:pPr>
        <w:tabs>
          <w:tab w:val="left" w:pos="5103"/>
        </w:tabs>
        <w:contextualSpacing/>
        <w:jc w:val="both"/>
        <w:rPr>
          <w:rFonts w:cs="Arial"/>
          <w:b/>
          <w:color w:val="00703C"/>
          <w:szCs w:val="20"/>
        </w:rPr>
      </w:pPr>
      <w:hyperlink r:id="rId9" w:history="1"/>
      <w:r w:rsidR="00A84F87"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3E05EB1" wp14:editId="119D73EF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CD80" id="Přímá spojnic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" strokecolor="#a5a5a5"/>
            </w:pict>
          </mc:Fallback>
        </mc:AlternateContent>
      </w:r>
    </w:p>
    <w:p w14:paraId="1DFEA4C7" w14:textId="77777777" w:rsidR="008607B7" w:rsidRDefault="008607B7" w:rsidP="00F84DCC">
      <w:pPr>
        <w:spacing w:after="0"/>
        <w:jc w:val="both"/>
        <w:rPr>
          <w:rFonts w:cs="Arial"/>
          <w:b/>
          <w:bCs/>
          <w:color w:val="008000"/>
          <w:sz w:val="16"/>
          <w:szCs w:val="16"/>
        </w:rPr>
      </w:pPr>
    </w:p>
    <w:p w14:paraId="4D043724" w14:textId="77777777" w:rsidR="001D3FC4" w:rsidRPr="00836A71" w:rsidRDefault="001D3FC4" w:rsidP="00F84DCC">
      <w:pPr>
        <w:spacing w:after="0"/>
        <w:jc w:val="both"/>
        <w:rPr>
          <w:rFonts w:cs="Arial"/>
          <w:sz w:val="16"/>
          <w:szCs w:val="16"/>
        </w:rPr>
      </w:pPr>
      <w:r w:rsidRPr="00836A71">
        <w:rPr>
          <w:rFonts w:cs="Arial"/>
          <w:b/>
          <w:bCs/>
          <w:color w:val="008000"/>
          <w:sz w:val="16"/>
          <w:szCs w:val="16"/>
        </w:rPr>
        <w:lastRenderedPageBreak/>
        <w:t>O společnosti Sberbank CZ, a.s.</w:t>
      </w:r>
    </w:p>
    <w:p w14:paraId="35C4398B" w14:textId="77777777" w:rsidR="001D3FC4" w:rsidRPr="00836A71" w:rsidRDefault="001D3FC4" w:rsidP="000D1BF7">
      <w:pPr>
        <w:pStyle w:val="Bezmezer1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836A71">
        <w:rPr>
          <w:rFonts w:ascii="Arial" w:hAnsi="Arial" w:cs="Arial"/>
          <w:sz w:val="16"/>
          <w:szCs w:val="16"/>
        </w:rPr>
        <w:t xml:space="preserve">Na českém trhu působí Sberbank CZ již od roku 1993, od 1. ledna 1997 jako samostatná akciová společnost. Jejím majoritním vlastníkem je </w:t>
      </w:r>
      <w:proofErr w:type="spellStart"/>
      <w:r w:rsidRPr="00836A71">
        <w:rPr>
          <w:rFonts w:ascii="Arial" w:hAnsi="Arial" w:cs="Arial"/>
          <w:sz w:val="16"/>
          <w:szCs w:val="16"/>
        </w:rPr>
        <w:t>Sberbank</w:t>
      </w:r>
      <w:proofErr w:type="spellEnd"/>
      <w:r w:rsidRPr="00836A7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6A71">
        <w:rPr>
          <w:rFonts w:ascii="Arial" w:hAnsi="Arial" w:cs="Arial"/>
          <w:sz w:val="16"/>
          <w:szCs w:val="16"/>
        </w:rPr>
        <w:t>Europe</w:t>
      </w:r>
      <w:proofErr w:type="spellEnd"/>
      <w:r w:rsidRPr="00836A71">
        <w:rPr>
          <w:rFonts w:ascii="Arial" w:hAnsi="Arial" w:cs="Arial"/>
          <w:sz w:val="16"/>
          <w:szCs w:val="16"/>
        </w:rPr>
        <w:t xml:space="preserve"> AG. Sberbank CZ je obchodní bankou se širokou nabídkou finančních produktů a služeb pro privátní </w:t>
      </w:r>
      <w:r w:rsidRPr="00836A71">
        <w:rPr>
          <w:rFonts w:ascii="Arial" w:hAnsi="Arial" w:cs="Arial"/>
          <w:sz w:val="16"/>
          <w:szCs w:val="16"/>
        </w:rPr>
        <w:br/>
        <w:t xml:space="preserve">i firemní klientelu. Může se pochlubit druhým místem v soutěži </w:t>
      </w:r>
      <w:r w:rsidRPr="00836A71">
        <w:rPr>
          <w:rFonts w:ascii="Arial" w:hAnsi="Arial" w:cs="Arial"/>
          <w:b/>
          <w:sz w:val="16"/>
          <w:szCs w:val="16"/>
        </w:rPr>
        <w:t xml:space="preserve">Klientsky nejpřívětivější banka roku 2016 </w:t>
      </w:r>
      <w:r w:rsidRPr="00836A71">
        <w:rPr>
          <w:rFonts w:ascii="Arial" w:hAnsi="Arial" w:cs="Arial"/>
          <w:sz w:val="16"/>
          <w:szCs w:val="16"/>
        </w:rPr>
        <w:t xml:space="preserve">a spotřebitelská půjčka byla oceněna jako </w:t>
      </w:r>
      <w:r w:rsidRPr="00836A71">
        <w:rPr>
          <w:rFonts w:ascii="Arial" w:hAnsi="Arial" w:cs="Arial"/>
          <w:b/>
          <w:sz w:val="16"/>
          <w:szCs w:val="16"/>
        </w:rPr>
        <w:t xml:space="preserve">Nejlepší finanční produkt roku 2016 </w:t>
      </w:r>
      <w:r w:rsidRPr="00836A71">
        <w:rPr>
          <w:rFonts w:ascii="Arial" w:hAnsi="Arial" w:cs="Arial"/>
          <w:sz w:val="16"/>
          <w:szCs w:val="16"/>
        </w:rPr>
        <w:t>u hlasování veřejnosti.</w:t>
      </w:r>
    </w:p>
    <w:sectPr w:rsidR="001D3FC4" w:rsidRPr="00836A71" w:rsidSect="00612EAB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0C58" w14:textId="77777777" w:rsidR="00862191" w:rsidRDefault="00862191" w:rsidP="007A3AA0">
      <w:pPr>
        <w:spacing w:after="0" w:line="240" w:lineRule="auto"/>
      </w:pPr>
      <w:r>
        <w:separator/>
      </w:r>
    </w:p>
  </w:endnote>
  <w:endnote w:type="continuationSeparator" w:id="0">
    <w:p w14:paraId="20CC3D28" w14:textId="77777777" w:rsidR="00862191" w:rsidRDefault="00862191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auto"/>
    <w:pitch w:val="default"/>
  </w:font>
  <w:font w:name="FedraSansPro-MediumL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0ABF" w14:textId="77777777" w:rsidR="00612EAB" w:rsidRPr="00221EBE" w:rsidRDefault="00221EBE" w:rsidP="00221EBE">
    <w:pPr>
      <w:pStyle w:val="Zpat"/>
    </w:pPr>
    <w:r>
      <w:rPr>
        <w:sz w:val="12"/>
        <w:szCs w:val="12"/>
      </w:rPr>
      <w:t>Sberbank CZ, a.s. je zapsaná v obchodním rejstříku vedeném Městským soudem v Praze, spisová značka B 4353.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FD6C" w14:textId="77777777" w:rsidR="00862191" w:rsidRDefault="00862191" w:rsidP="007A3AA0">
      <w:pPr>
        <w:spacing w:after="0" w:line="240" w:lineRule="auto"/>
      </w:pPr>
      <w:r>
        <w:separator/>
      </w:r>
    </w:p>
  </w:footnote>
  <w:footnote w:type="continuationSeparator" w:id="0">
    <w:p w14:paraId="18E0DC06" w14:textId="77777777" w:rsidR="00862191" w:rsidRDefault="00862191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6B33" w14:textId="77777777" w:rsidR="007A3AA0" w:rsidRPr="007A3AA0" w:rsidRDefault="007A3AA0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3FE1" w14:textId="77777777" w:rsidR="00442C94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6DB32B0" wp14:editId="023481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0" t="0" r="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0715B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18598900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3DE98FC7" w14:textId="77777777" w:rsidR="00382B9D" w:rsidRDefault="007A3376" w:rsidP="00442C94">
    <w:pPr>
      <w:pStyle w:val="Zhlav"/>
      <w:spacing w:line="180" w:lineRule="exact"/>
      <w:rPr>
        <w:rFonts w:cs="Arial"/>
        <w:sz w:val="15"/>
        <w:szCs w:val="15"/>
      </w:rPr>
    </w:pP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2336" behindDoc="1" locked="1" layoutInCell="1" allowOverlap="1" wp14:anchorId="335407E2" wp14:editId="39BF31EF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6000" cy="6696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B_razitko_Klientsky-nejprivetivejsi-banka_2016_2-misto_CZ_C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1" layoutInCell="1" allowOverlap="1" wp14:anchorId="76EB7D94" wp14:editId="433D9C37">
          <wp:simplePos x="0" y="0"/>
          <wp:positionH relativeFrom="page">
            <wp:posOffset>5897245</wp:posOffset>
          </wp:positionH>
          <wp:positionV relativeFrom="page">
            <wp:posOffset>568960</wp:posOffset>
          </wp:positionV>
          <wp:extent cx="669600" cy="669600"/>
          <wp:effectExtent l="0" t="0" r="0" b="0"/>
          <wp:wrapNone/>
          <wp:docPr id="2" name="Obrázek 2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0288" behindDoc="1" locked="1" layoutInCell="1" allowOverlap="1" wp14:anchorId="2D9EB0CA" wp14:editId="3BF101CF">
          <wp:simplePos x="0" y="0"/>
          <wp:positionH relativeFrom="page">
            <wp:posOffset>4457065</wp:posOffset>
          </wp:positionH>
          <wp:positionV relativeFrom="page">
            <wp:posOffset>568960</wp:posOffset>
          </wp:positionV>
          <wp:extent cx="673200" cy="673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59264" behindDoc="1" locked="1" layoutInCell="1" allowOverlap="1" wp14:anchorId="27DF4688" wp14:editId="3BA18B33">
          <wp:simplePos x="0" y="0"/>
          <wp:positionH relativeFrom="page">
            <wp:posOffset>5177155</wp:posOffset>
          </wp:positionH>
          <wp:positionV relativeFrom="page">
            <wp:posOffset>568960</wp:posOffset>
          </wp:positionV>
          <wp:extent cx="669600" cy="673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3DA9C6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0CA6DAAA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781F550A" w14:textId="77777777" w:rsidR="00442C94" w:rsidRPr="00AB7E9D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F65FB6B" wp14:editId="466B142F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4F87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5168" behindDoc="0" locked="1" layoutInCell="1" allowOverlap="1" wp14:anchorId="14F22086" wp14:editId="27D6792A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349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C8A89" id="Přímá spojnice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r w:rsidR="00442C94" w:rsidRPr="00AB7E9D">
      <w:rPr>
        <w:rFonts w:cs="Arial"/>
        <w:sz w:val="15"/>
        <w:szCs w:val="15"/>
      </w:rPr>
      <w:t>Sberbank CZ, a.s.</w:t>
    </w:r>
  </w:p>
  <w:p w14:paraId="650E640E" w14:textId="77777777" w:rsidR="00442C94" w:rsidRPr="00AB7E9D" w:rsidRDefault="00901925" w:rsidP="0090192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="00442C94" w:rsidRPr="00AB7E9D">
      <w:rPr>
        <w:rFonts w:cs="Arial"/>
        <w:sz w:val="15"/>
        <w:szCs w:val="15"/>
      </w:rPr>
      <w:t>, Česká republika</w:t>
    </w:r>
  </w:p>
  <w:p w14:paraId="74215E00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 w:rsidR="00787F2D"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14:paraId="3F201BF0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14:paraId="4DDC9C6E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14:paraId="236A046D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 w:rsidR="00787F2D"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14:paraId="3538829E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53F7CA01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640D63B3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70B6B3F9" w14:textId="77777777" w:rsidR="00442C94" w:rsidRPr="00442C94" w:rsidRDefault="00C060DC" w:rsidP="00442C94">
    <w:pPr>
      <w:pStyle w:val="Zhlav"/>
      <w:spacing w:line="520" w:lineRule="exact"/>
      <w:rPr>
        <w:rFonts w:cs="Arial"/>
        <w:spacing w:val="-10"/>
        <w:sz w:val="52"/>
        <w:szCs w:val="52"/>
      </w:rPr>
    </w:pPr>
    <w:r>
      <w:rPr>
        <w:rFonts w:cs="Arial"/>
        <w:spacing w:val="-10"/>
        <w:sz w:val="52"/>
        <w:szCs w:val="52"/>
      </w:rPr>
      <w:t>TISKOVÁ ZPPRÁVA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50B0"/>
    <w:multiLevelType w:val="hybridMultilevel"/>
    <w:tmpl w:val="BE067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1BBC"/>
    <w:multiLevelType w:val="multilevel"/>
    <w:tmpl w:val="52B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C"/>
    <w:rsid w:val="00005043"/>
    <w:rsid w:val="00030985"/>
    <w:rsid w:val="00035FE9"/>
    <w:rsid w:val="000477F3"/>
    <w:rsid w:val="00054B82"/>
    <w:rsid w:val="00067E1D"/>
    <w:rsid w:val="000762DC"/>
    <w:rsid w:val="000A606A"/>
    <w:rsid w:val="000A780E"/>
    <w:rsid w:val="000D1BF7"/>
    <w:rsid w:val="000D387F"/>
    <w:rsid w:val="000E0425"/>
    <w:rsid w:val="000F44C6"/>
    <w:rsid w:val="00105D43"/>
    <w:rsid w:val="00110342"/>
    <w:rsid w:val="001132BC"/>
    <w:rsid w:val="00127F63"/>
    <w:rsid w:val="0014046C"/>
    <w:rsid w:val="001468F6"/>
    <w:rsid w:val="001519AC"/>
    <w:rsid w:val="00155FD0"/>
    <w:rsid w:val="001B2FB6"/>
    <w:rsid w:val="001C7A49"/>
    <w:rsid w:val="001D3760"/>
    <w:rsid w:val="001D3FC4"/>
    <w:rsid w:val="001F1F52"/>
    <w:rsid w:val="00212B63"/>
    <w:rsid w:val="00221EBE"/>
    <w:rsid w:val="00222D5B"/>
    <w:rsid w:val="0024516B"/>
    <w:rsid w:val="0024533B"/>
    <w:rsid w:val="002637D9"/>
    <w:rsid w:val="002740A9"/>
    <w:rsid w:val="00275052"/>
    <w:rsid w:val="0027618E"/>
    <w:rsid w:val="002A35E6"/>
    <w:rsid w:val="002B0EF8"/>
    <w:rsid w:val="002B65C7"/>
    <w:rsid w:val="002C157C"/>
    <w:rsid w:val="002E48FF"/>
    <w:rsid w:val="002E6333"/>
    <w:rsid w:val="00315F8C"/>
    <w:rsid w:val="00336E49"/>
    <w:rsid w:val="00341AFD"/>
    <w:rsid w:val="00371A0B"/>
    <w:rsid w:val="00372C88"/>
    <w:rsid w:val="00382B9D"/>
    <w:rsid w:val="00395963"/>
    <w:rsid w:val="003A1B49"/>
    <w:rsid w:val="003C1F67"/>
    <w:rsid w:val="003D045B"/>
    <w:rsid w:val="003E0CDE"/>
    <w:rsid w:val="003E36B9"/>
    <w:rsid w:val="003E74A2"/>
    <w:rsid w:val="00403572"/>
    <w:rsid w:val="004175FA"/>
    <w:rsid w:val="00442C94"/>
    <w:rsid w:val="00444AA2"/>
    <w:rsid w:val="0045403D"/>
    <w:rsid w:val="004542BA"/>
    <w:rsid w:val="00472434"/>
    <w:rsid w:val="004726DB"/>
    <w:rsid w:val="00475FD2"/>
    <w:rsid w:val="004A435B"/>
    <w:rsid w:val="004B7D9D"/>
    <w:rsid w:val="004C6071"/>
    <w:rsid w:val="004C746B"/>
    <w:rsid w:val="004D0DD5"/>
    <w:rsid w:val="004D526B"/>
    <w:rsid w:val="004E1D57"/>
    <w:rsid w:val="004E2092"/>
    <w:rsid w:val="004F1242"/>
    <w:rsid w:val="004F3FF1"/>
    <w:rsid w:val="005053FA"/>
    <w:rsid w:val="005545FE"/>
    <w:rsid w:val="00565895"/>
    <w:rsid w:val="00595556"/>
    <w:rsid w:val="005978E4"/>
    <w:rsid w:val="005A4D36"/>
    <w:rsid w:val="005E2106"/>
    <w:rsid w:val="005F415A"/>
    <w:rsid w:val="00603966"/>
    <w:rsid w:val="00612EAB"/>
    <w:rsid w:val="00617283"/>
    <w:rsid w:val="00620F53"/>
    <w:rsid w:val="0062300E"/>
    <w:rsid w:val="00637EA0"/>
    <w:rsid w:val="006A3EB7"/>
    <w:rsid w:val="006A5147"/>
    <w:rsid w:val="006A6C37"/>
    <w:rsid w:val="006B7178"/>
    <w:rsid w:val="006C1827"/>
    <w:rsid w:val="006C5BD5"/>
    <w:rsid w:val="006C7AEF"/>
    <w:rsid w:val="006D3D79"/>
    <w:rsid w:val="006E6F1A"/>
    <w:rsid w:val="00733C38"/>
    <w:rsid w:val="00767B7C"/>
    <w:rsid w:val="00785133"/>
    <w:rsid w:val="00787F2D"/>
    <w:rsid w:val="00791774"/>
    <w:rsid w:val="007A0499"/>
    <w:rsid w:val="007A3376"/>
    <w:rsid w:val="007A3AA0"/>
    <w:rsid w:val="007A4CCE"/>
    <w:rsid w:val="007D34EC"/>
    <w:rsid w:val="007E0226"/>
    <w:rsid w:val="007F2BA2"/>
    <w:rsid w:val="00802E99"/>
    <w:rsid w:val="00810A28"/>
    <w:rsid w:val="00814FA3"/>
    <w:rsid w:val="008223D7"/>
    <w:rsid w:val="00823146"/>
    <w:rsid w:val="00826974"/>
    <w:rsid w:val="00832312"/>
    <w:rsid w:val="00836A71"/>
    <w:rsid w:val="00850956"/>
    <w:rsid w:val="00857020"/>
    <w:rsid w:val="008607B7"/>
    <w:rsid w:val="00862191"/>
    <w:rsid w:val="008A29A0"/>
    <w:rsid w:val="008A7333"/>
    <w:rsid w:val="008B229A"/>
    <w:rsid w:val="008C529E"/>
    <w:rsid w:val="008D3DB4"/>
    <w:rsid w:val="008E6292"/>
    <w:rsid w:val="008E6E49"/>
    <w:rsid w:val="008F5397"/>
    <w:rsid w:val="00901925"/>
    <w:rsid w:val="00905A06"/>
    <w:rsid w:val="00905A6E"/>
    <w:rsid w:val="00905D7F"/>
    <w:rsid w:val="00920014"/>
    <w:rsid w:val="0095080D"/>
    <w:rsid w:val="00970E6B"/>
    <w:rsid w:val="00971664"/>
    <w:rsid w:val="00990FD6"/>
    <w:rsid w:val="009E5C68"/>
    <w:rsid w:val="00A00C2E"/>
    <w:rsid w:val="00A14D00"/>
    <w:rsid w:val="00A16691"/>
    <w:rsid w:val="00A167C5"/>
    <w:rsid w:val="00A25149"/>
    <w:rsid w:val="00A25E35"/>
    <w:rsid w:val="00A303D1"/>
    <w:rsid w:val="00A4367E"/>
    <w:rsid w:val="00A57EC4"/>
    <w:rsid w:val="00A77047"/>
    <w:rsid w:val="00A80EE0"/>
    <w:rsid w:val="00A84F87"/>
    <w:rsid w:val="00A9280D"/>
    <w:rsid w:val="00AA6D02"/>
    <w:rsid w:val="00AA6ED2"/>
    <w:rsid w:val="00AB47EA"/>
    <w:rsid w:val="00AB7E9D"/>
    <w:rsid w:val="00AC5EDB"/>
    <w:rsid w:val="00AD44BB"/>
    <w:rsid w:val="00AD6EE8"/>
    <w:rsid w:val="00AD7207"/>
    <w:rsid w:val="00AE371F"/>
    <w:rsid w:val="00B17C0D"/>
    <w:rsid w:val="00B33694"/>
    <w:rsid w:val="00B4366E"/>
    <w:rsid w:val="00B47493"/>
    <w:rsid w:val="00B807BF"/>
    <w:rsid w:val="00B821FA"/>
    <w:rsid w:val="00B929B9"/>
    <w:rsid w:val="00B934B3"/>
    <w:rsid w:val="00BC3AA9"/>
    <w:rsid w:val="00C05425"/>
    <w:rsid w:val="00C060DC"/>
    <w:rsid w:val="00C42C3A"/>
    <w:rsid w:val="00C47B90"/>
    <w:rsid w:val="00C47E12"/>
    <w:rsid w:val="00C5264B"/>
    <w:rsid w:val="00C5550B"/>
    <w:rsid w:val="00C63DD9"/>
    <w:rsid w:val="00C75C45"/>
    <w:rsid w:val="00C81348"/>
    <w:rsid w:val="00C839B5"/>
    <w:rsid w:val="00CA1BAA"/>
    <w:rsid w:val="00CA580D"/>
    <w:rsid w:val="00CC2688"/>
    <w:rsid w:val="00D02481"/>
    <w:rsid w:val="00D265CC"/>
    <w:rsid w:val="00D34D48"/>
    <w:rsid w:val="00D37385"/>
    <w:rsid w:val="00D47315"/>
    <w:rsid w:val="00D534E6"/>
    <w:rsid w:val="00D615DD"/>
    <w:rsid w:val="00D639C3"/>
    <w:rsid w:val="00D66D9B"/>
    <w:rsid w:val="00D8232B"/>
    <w:rsid w:val="00D909BA"/>
    <w:rsid w:val="00DD45A4"/>
    <w:rsid w:val="00DE3885"/>
    <w:rsid w:val="00DF6CFD"/>
    <w:rsid w:val="00E011A4"/>
    <w:rsid w:val="00E054F6"/>
    <w:rsid w:val="00E163A1"/>
    <w:rsid w:val="00E25845"/>
    <w:rsid w:val="00E326A2"/>
    <w:rsid w:val="00E73453"/>
    <w:rsid w:val="00E90EEC"/>
    <w:rsid w:val="00EA2975"/>
    <w:rsid w:val="00EB578D"/>
    <w:rsid w:val="00ED3EB8"/>
    <w:rsid w:val="00EE1E1D"/>
    <w:rsid w:val="00F01F56"/>
    <w:rsid w:val="00F03C60"/>
    <w:rsid w:val="00F27800"/>
    <w:rsid w:val="00F33A95"/>
    <w:rsid w:val="00F37617"/>
    <w:rsid w:val="00F43763"/>
    <w:rsid w:val="00F5385D"/>
    <w:rsid w:val="00F53902"/>
    <w:rsid w:val="00F61265"/>
    <w:rsid w:val="00F7683F"/>
    <w:rsid w:val="00F84937"/>
    <w:rsid w:val="00F84DCC"/>
    <w:rsid w:val="00FB1857"/>
    <w:rsid w:val="00FD3A3A"/>
    <w:rsid w:val="00FD722C"/>
    <w:rsid w:val="00FE021E"/>
    <w:rsid w:val="00FF40D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6681E"/>
  <w15:docId w15:val="{ADBB41F8-9B1F-432C-80AB-4093375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60D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92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8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8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80D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4D36"/>
    <w:rPr>
      <w:color w:val="0563C1" w:themeColor="hyperlink"/>
      <w:u w:val="single"/>
    </w:rPr>
  </w:style>
  <w:style w:type="paragraph" w:customStyle="1" w:styleId="Bezmezer1">
    <w:name w:val="Bez mezer1"/>
    <w:uiPriority w:val="99"/>
    <w:rsid w:val="001D3FC4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26974"/>
    <w:pPr>
      <w:spacing w:before="100" w:beforeAutospacing="1" w:after="360" w:line="240" w:lineRule="auto"/>
    </w:pPr>
    <w:rPr>
      <w:rFonts w:ascii="Noto Serif" w:eastAsia="Times New Roman" w:hAnsi="Noto Seri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0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Revize">
    <w:name w:val="Revision"/>
    <w:hidden/>
    <w:uiPriority w:val="99"/>
    <w:semiHidden/>
    <w:rsid w:val="008A733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407">
                      <w:marLeft w:val="3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bankCZ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CBD-0504-4D41-BF95-392DFF6B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Šárka</cp:lastModifiedBy>
  <cp:revision>2</cp:revision>
  <cp:lastPrinted>2016-10-11T08:21:00Z</cp:lastPrinted>
  <dcterms:created xsi:type="dcterms:W3CDTF">2017-04-27T13:35:00Z</dcterms:created>
  <dcterms:modified xsi:type="dcterms:W3CDTF">2017-04-27T13:35:00Z</dcterms:modified>
</cp:coreProperties>
</file>