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1FB1F" w14:textId="05E103BE" w:rsidR="00836A71" w:rsidRPr="00C06D70" w:rsidRDefault="00D534E6" w:rsidP="00836A71">
      <w:pPr>
        <w:autoSpaceDE w:val="0"/>
        <w:autoSpaceDN w:val="0"/>
        <w:adjustRightInd w:val="0"/>
        <w:spacing w:after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4"/>
          <w:szCs w:val="24"/>
        </w:rPr>
        <w:br/>
      </w:r>
      <w:r w:rsidR="00EE7FDF">
        <w:rPr>
          <w:rFonts w:cs="Arial"/>
          <w:b/>
          <w:bCs/>
          <w:sz w:val="28"/>
          <w:szCs w:val="28"/>
        </w:rPr>
        <w:t>Sberbank CZ ztrojnásobi</w:t>
      </w:r>
      <w:r w:rsidR="002A35CC">
        <w:rPr>
          <w:rFonts w:cs="Arial"/>
          <w:b/>
          <w:bCs/>
          <w:sz w:val="28"/>
          <w:szCs w:val="28"/>
        </w:rPr>
        <w:t>la zisk za první pololetí na 203</w:t>
      </w:r>
      <w:r w:rsidR="00AF3A76">
        <w:rPr>
          <w:rFonts w:cs="Arial"/>
          <w:b/>
          <w:bCs/>
          <w:sz w:val="28"/>
          <w:szCs w:val="28"/>
        </w:rPr>
        <w:t xml:space="preserve"> miliony</w:t>
      </w:r>
      <w:r w:rsidR="00EE7FDF">
        <w:rPr>
          <w:rFonts w:cs="Arial"/>
          <w:b/>
          <w:bCs/>
          <w:sz w:val="28"/>
          <w:szCs w:val="28"/>
        </w:rPr>
        <w:t xml:space="preserve"> korun </w:t>
      </w:r>
      <w:r w:rsidR="004726DB">
        <w:rPr>
          <w:rFonts w:cs="Arial"/>
          <w:b/>
          <w:bCs/>
          <w:sz w:val="28"/>
          <w:szCs w:val="28"/>
        </w:rPr>
        <w:br/>
      </w:r>
    </w:p>
    <w:p w14:paraId="1FC02F56" w14:textId="7A48779D" w:rsidR="005C578C" w:rsidRDefault="00836A71" w:rsidP="005978E4">
      <w:pPr>
        <w:autoSpaceDE w:val="0"/>
        <w:autoSpaceDN w:val="0"/>
        <w:adjustRightInd w:val="0"/>
        <w:spacing w:after="120"/>
        <w:jc w:val="both"/>
        <w:rPr>
          <w:rFonts w:cs="Arial"/>
          <w:b/>
          <w:szCs w:val="20"/>
        </w:rPr>
      </w:pPr>
      <w:r w:rsidRPr="00724797">
        <w:rPr>
          <w:rFonts w:cs="Arial"/>
          <w:b/>
          <w:szCs w:val="20"/>
        </w:rPr>
        <w:t>Praha</w:t>
      </w:r>
      <w:r w:rsidRPr="006743AE">
        <w:rPr>
          <w:rFonts w:cs="Arial"/>
          <w:b/>
          <w:szCs w:val="20"/>
        </w:rPr>
        <w:t xml:space="preserve">, </w:t>
      </w:r>
      <w:r w:rsidR="00EE7FDF">
        <w:rPr>
          <w:rFonts w:cs="Arial"/>
          <w:b/>
          <w:szCs w:val="20"/>
        </w:rPr>
        <w:t>19</w:t>
      </w:r>
      <w:r w:rsidRPr="006743AE">
        <w:rPr>
          <w:rFonts w:cs="Arial"/>
          <w:b/>
          <w:szCs w:val="20"/>
        </w:rPr>
        <w:t>.</w:t>
      </w:r>
      <w:r w:rsidR="00F37617" w:rsidRPr="006743AE">
        <w:rPr>
          <w:rFonts w:cs="Arial"/>
          <w:b/>
          <w:szCs w:val="20"/>
        </w:rPr>
        <w:t xml:space="preserve"> </w:t>
      </w:r>
      <w:r w:rsidR="00EE7FDF">
        <w:rPr>
          <w:rFonts w:cs="Arial"/>
          <w:b/>
          <w:szCs w:val="20"/>
        </w:rPr>
        <w:t>7.</w:t>
      </w:r>
      <w:r w:rsidRPr="00832312">
        <w:rPr>
          <w:rFonts w:cs="Arial"/>
          <w:b/>
          <w:szCs w:val="20"/>
        </w:rPr>
        <w:t xml:space="preserve"> 2017</w:t>
      </w:r>
      <w:r w:rsidRPr="00724797">
        <w:rPr>
          <w:rFonts w:cs="Arial"/>
          <w:b/>
          <w:szCs w:val="20"/>
        </w:rPr>
        <w:t xml:space="preserve"> –</w:t>
      </w:r>
      <w:r w:rsidR="00826974" w:rsidRPr="00826974">
        <w:rPr>
          <w:rFonts w:cs="Arial"/>
          <w:b/>
          <w:szCs w:val="20"/>
        </w:rPr>
        <w:t xml:space="preserve"> </w:t>
      </w:r>
      <w:r w:rsidR="00083239">
        <w:rPr>
          <w:rFonts w:cs="Arial"/>
          <w:b/>
          <w:szCs w:val="20"/>
        </w:rPr>
        <w:t>Za první pololetí roku 2017</w:t>
      </w:r>
      <w:r w:rsidR="002B0EF7">
        <w:rPr>
          <w:rFonts w:cs="Arial"/>
          <w:b/>
          <w:szCs w:val="20"/>
        </w:rPr>
        <w:t xml:space="preserve"> </w:t>
      </w:r>
      <w:r w:rsidR="00CB5965">
        <w:rPr>
          <w:rFonts w:cs="Arial"/>
          <w:b/>
          <w:szCs w:val="20"/>
        </w:rPr>
        <w:t xml:space="preserve">Sberbank CZ </w:t>
      </w:r>
      <w:r w:rsidR="002B0EF7">
        <w:rPr>
          <w:rFonts w:cs="Arial"/>
          <w:b/>
          <w:szCs w:val="20"/>
        </w:rPr>
        <w:t xml:space="preserve">dosáhla </w:t>
      </w:r>
      <w:r w:rsidR="000977E1">
        <w:rPr>
          <w:rFonts w:cs="Arial"/>
          <w:b/>
          <w:szCs w:val="20"/>
        </w:rPr>
        <w:t>zisk po zdanění</w:t>
      </w:r>
      <w:r w:rsidR="002B0EF7">
        <w:rPr>
          <w:rFonts w:cs="Arial"/>
          <w:b/>
          <w:szCs w:val="20"/>
        </w:rPr>
        <w:t xml:space="preserve"> ve výši </w:t>
      </w:r>
      <w:r w:rsidR="002A35CC">
        <w:rPr>
          <w:rFonts w:cs="Arial"/>
          <w:b/>
          <w:szCs w:val="20"/>
        </w:rPr>
        <w:t>203</w:t>
      </w:r>
      <w:r w:rsidR="00E60DC0">
        <w:rPr>
          <w:rFonts w:cs="Arial"/>
          <w:b/>
          <w:szCs w:val="20"/>
        </w:rPr>
        <w:t xml:space="preserve"> miliony</w:t>
      </w:r>
      <w:r w:rsidR="002B0EF7">
        <w:rPr>
          <w:rFonts w:cs="Arial"/>
          <w:b/>
          <w:szCs w:val="20"/>
        </w:rPr>
        <w:t xml:space="preserve"> korun. K</w:t>
      </w:r>
      <w:r w:rsidR="000977E1">
        <w:rPr>
          <w:rFonts w:cs="Arial"/>
          <w:b/>
          <w:szCs w:val="20"/>
        </w:rPr>
        <w:t xml:space="preserve"> meziročnímu </w:t>
      </w:r>
      <w:r w:rsidR="002B0EF7">
        <w:rPr>
          <w:rFonts w:cs="Arial"/>
          <w:b/>
          <w:szCs w:val="20"/>
        </w:rPr>
        <w:t xml:space="preserve">trojnásobnému </w:t>
      </w:r>
      <w:r w:rsidR="000977E1">
        <w:rPr>
          <w:rFonts w:cs="Arial"/>
          <w:b/>
          <w:szCs w:val="20"/>
        </w:rPr>
        <w:t>růst</w:t>
      </w:r>
      <w:r w:rsidR="002B0EF7">
        <w:rPr>
          <w:rFonts w:cs="Arial"/>
          <w:b/>
          <w:szCs w:val="20"/>
        </w:rPr>
        <w:t xml:space="preserve">u </w:t>
      </w:r>
      <w:r w:rsidR="000977E1">
        <w:rPr>
          <w:rFonts w:cs="Arial"/>
          <w:b/>
          <w:szCs w:val="20"/>
        </w:rPr>
        <w:t xml:space="preserve">hospodářských výsledků </w:t>
      </w:r>
      <w:r w:rsidR="002B0EF7">
        <w:rPr>
          <w:rFonts w:cs="Arial"/>
          <w:b/>
          <w:szCs w:val="20"/>
        </w:rPr>
        <w:t>přisp</w:t>
      </w:r>
      <w:r w:rsidR="00C9637C">
        <w:rPr>
          <w:rFonts w:cs="Arial"/>
          <w:b/>
          <w:szCs w:val="20"/>
        </w:rPr>
        <w:t>ěl především rekordní zájem o FÉR půjčky a FÉ</w:t>
      </w:r>
      <w:r w:rsidR="002B0EF7">
        <w:rPr>
          <w:rFonts w:cs="Arial"/>
          <w:b/>
          <w:szCs w:val="20"/>
        </w:rPr>
        <w:t>R hypotéky a v segmentu firemních zákazníků mimořádný objem devizových o</w:t>
      </w:r>
      <w:r w:rsidR="00C9637C">
        <w:rPr>
          <w:rFonts w:cs="Arial"/>
          <w:b/>
          <w:szCs w:val="20"/>
        </w:rPr>
        <w:t>perací před ukončením intervenčního režimu ČNB</w:t>
      </w:r>
      <w:r w:rsidR="002B0EF7">
        <w:rPr>
          <w:rFonts w:cs="Arial"/>
          <w:b/>
          <w:szCs w:val="20"/>
        </w:rPr>
        <w:t xml:space="preserve">.  </w:t>
      </w:r>
    </w:p>
    <w:p w14:paraId="3C04457E" w14:textId="2EA66B6C" w:rsidR="008607B7" w:rsidRPr="00CB5965" w:rsidRDefault="000A0F74" w:rsidP="00CB5965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bookmarkStart w:id="0" w:name="_GoBack"/>
      <w:r w:rsidRPr="00CB5965">
        <w:rPr>
          <w:rFonts w:cs="Arial"/>
          <w:szCs w:val="20"/>
        </w:rPr>
        <w:t xml:space="preserve">Zisk z finančních operací před tvorbou rezerv a opravných položek </w:t>
      </w:r>
      <w:r w:rsidR="007B6962" w:rsidRPr="00CB5965">
        <w:rPr>
          <w:rFonts w:cs="Arial"/>
          <w:szCs w:val="20"/>
        </w:rPr>
        <w:t xml:space="preserve">činil </w:t>
      </w:r>
      <w:r w:rsidR="00CB5965">
        <w:rPr>
          <w:rFonts w:cs="Arial"/>
          <w:szCs w:val="20"/>
        </w:rPr>
        <w:t xml:space="preserve">ke konci června </w:t>
      </w:r>
      <w:r w:rsidR="007B6962" w:rsidRPr="00CB5965">
        <w:rPr>
          <w:rFonts w:cs="Arial"/>
          <w:szCs w:val="20"/>
        </w:rPr>
        <w:t xml:space="preserve">1,150 mld. korun. </w:t>
      </w:r>
    </w:p>
    <w:p w14:paraId="714F6F28" w14:textId="6AE28CCC" w:rsidR="00E12519" w:rsidRPr="00CB5965" w:rsidRDefault="00A84055" w:rsidP="00CB5965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r w:rsidRPr="00CB5965">
        <w:rPr>
          <w:rFonts w:cs="Arial"/>
          <w:szCs w:val="20"/>
        </w:rPr>
        <w:t xml:space="preserve">Rekordně rostou prodeje půjček v segmentu fyzických osob vč. podnikatelů. </w:t>
      </w:r>
      <w:r w:rsidR="00681248">
        <w:rPr>
          <w:rFonts w:cs="Arial"/>
          <w:szCs w:val="20"/>
        </w:rPr>
        <w:t>„</w:t>
      </w:r>
      <w:r w:rsidRPr="00CB5965">
        <w:rPr>
          <w:rFonts w:cs="Arial"/>
          <w:szCs w:val="20"/>
        </w:rPr>
        <w:t xml:space="preserve">Nové prodeje spotřebitelských, hypotéčních i </w:t>
      </w:r>
      <w:proofErr w:type="spellStart"/>
      <w:r w:rsidRPr="00CB5965">
        <w:rPr>
          <w:rFonts w:cs="Arial"/>
          <w:szCs w:val="20"/>
        </w:rPr>
        <w:t>m</w:t>
      </w:r>
      <w:r w:rsidR="00681248">
        <w:rPr>
          <w:rFonts w:cs="Arial"/>
          <w:szCs w:val="20"/>
        </w:rPr>
        <w:t>icro</w:t>
      </w:r>
      <w:proofErr w:type="spellEnd"/>
      <w:r w:rsidR="00681248">
        <w:rPr>
          <w:rFonts w:cs="Arial"/>
          <w:szCs w:val="20"/>
        </w:rPr>
        <w:t xml:space="preserve"> investičních úvěrů dosáhly</w:t>
      </w:r>
      <w:r w:rsidRPr="00CB5965">
        <w:rPr>
          <w:rFonts w:cs="Arial"/>
          <w:szCs w:val="20"/>
        </w:rPr>
        <w:t xml:space="preserve"> dvouciferný růst,</w:t>
      </w:r>
      <w:r w:rsidR="00A86241">
        <w:rPr>
          <w:rFonts w:cs="Arial"/>
          <w:szCs w:val="20"/>
        </w:rPr>
        <w:t xml:space="preserve"> hypotéční úvěry dokonce </w:t>
      </w:r>
      <w:r w:rsidRPr="00CB5965">
        <w:rPr>
          <w:rFonts w:cs="Arial"/>
          <w:szCs w:val="20"/>
        </w:rPr>
        <w:t>o 64 %. Jen v měsíci květnu banka schválila žádosti o hypotéku v celkovém objemu přes 1 miliardu korun</w:t>
      </w:r>
      <w:r w:rsidR="00681248">
        <w:rPr>
          <w:rFonts w:cs="Arial"/>
          <w:szCs w:val="20"/>
        </w:rPr>
        <w:t>,“ komentuje výsledky Vladimír Šolc, generální ředitel a předseda představenstva Sberbank CZ</w:t>
      </w:r>
      <w:r w:rsidRPr="00CB5965">
        <w:rPr>
          <w:rFonts w:cs="Arial"/>
          <w:szCs w:val="20"/>
        </w:rPr>
        <w:t>.</w:t>
      </w:r>
      <w:r w:rsidR="00CB5965">
        <w:rPr>
          <w:rFonts w:cs="Arial"/>
          <w:szCs w:val="20"/>
        </w:rPr>
        <w:t xml:space="preserve"> </w:t>
      </w:r>
      <w:r w:rsidR="00A86241">
        <w:rPr>
          <w:rFonts w:cs="Arial"/>
          <w:szCs w:val="20"/>
        </w:rPr>
        <w:t>Vedle úrokových výnosů</w:t>
      </w:r>
      <w:r w:rsidR="00AA4EEF" w:rsidRPr="00CB5965">
        <w:rPr>
          <w:rFonts w:cs="Arial"/>
          <w:szCs w:val="20"/>
        </w:rPr>
        <w:t xml:space="preserve"> r</w:t>
      </w:r>
      <w:r w:rsidRPr="00CB5965">
        <w:rPr>
          <w:rFonts w:cs="Arial"/>
          <w:szCs w:val="20"/>
        </w:rPr>
        <w:t>ostou i výnosy z pojištění a investic.</w:t>
      </w:r>
    </w:p>
    <w:p w14:paraId="7091F018" w14:textId="77777777" w:rsidR="00A86241" w:rsidRDefault="00A86241" w:rsidP="00CB5965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411D716D" w14:textId="19A7E827" w:rsidR="00823E44" w:rsidRPr="00CB5965" w:rsidRDefault="00823E44" w:rsidP="00CB5965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r w:rsidRPr="00CB5965">
        <w:rPr>
          <w:rFonts w:cs="Arial"/>
          <w:szCs w:val="20"/>
        </w:rPr>
        <w:t>V segmentu firemních zákazníků k</w:t>
      </w:r>
      <w:r w:rsidR="00A86241">
        <w:rPr>
          <w:rFonts w:cs="Arial"/>
          <w:szCs w:val="20"/>
        </w:rPr>
        <w:t xml:space="preserve"> dobrým </w:t>
      </w:r>
      <w:r w:rsidRPr="00CB5965">
        <w:rPr>
          <w:rFonts w:cs="Arial"/>
          <w:szCs w:val="20"/>
        </w:rPr>
        <w:t>výsledkům přispěl mimořádný objem FX operací před očekávaným uvolněním kurzu koruny vůči euru ze strany ČNB.</w:t>
      </w:r>
      <w:r w:rsidR="00AA4EEF" w:rsidRPr="00CB5965">
        <w:rPr>
          <w:rFonts w:cs="Arial"/>
          <w:szCs w:val="20"/>
        </w:rPr>
        <w:t xml:space="preserve"> </w:t>
      </w:r>
      <w:r w:rsidR="00A86241">
        <w:rPr>
          <w:rFonts w:cs="Arial"/>
          <w:szCs w:val="20"/>
        </w:rPr>
        <w:t xml:space="preserve">Zájem o zajištění kurzového rizika měli nejen klienti ze segmentu velkých korporací, ale i malých a středních firem. </w:t>
      </w:r>
      <w:r w:rsidR="00AA4EEF" w:rsidRPr="00CB5965">
        <w:rPr>
          <w:rFonts w:cs="Arial"/>
          <w:szCs w:val="20"/>
        </w:rPr>
        <w:t xml:space="preserve">Dařilo se i </w:t>
      </w:r>
      <w:r w:rsidR="00083239">
        <w:rPr>
          <w:rFonts w:cs="Arial"/>
          <w:szCs w:val="20"/>
        </w:rPr>
        <w:t xml:space="preserve">v </w:t>
      </w:r>
      <w:r w:rsidR="00AA4EEF" w:rsidRPr="00CB5965">
        <w:rPr>
          <w:rFonts w:cs="Arial"/>
          <w:szCs w:val="20"/>
        </w:rPr>
        <w:t>oblasti strukturovaného financování. Sberbank CZ se v prvním pololetí podílela na několika významných syndikovaných úvěrech.</w:t>
      </w:r>
    </w:p>
    <w:p w14:paraId="1094D010" w14:textId="77777777" w:rsidR="00A86241" w:rsidRDefault="00A86241" w:rsidP="00CB5965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2CAE6D77" w14:textId="44822670" w:rsidR="00CB5965" w:rsidRDefault="00CB5965" w:rsidP="00CB5965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r w:rsidRPr="00CB5965">
        <w:rPr>
          <w:rFonts w:cs="Arial"/>
          <w:szCs w:val="20"/>
        </w:rPr>
        <w:t xml:space="preserve">I přes růst obchodních výsledků se </w:t>
      </w:r>
      <w:r w:rsidR="00681248" w:rsidRPr="00CB5965">
        <w:rPr>
          <w:rFonts w:cs="Arial"/>
          <w:szCs w:val="20"/>
        </w:rPr>
        <w:t xml:space="preserve">provozní náklady </w:t>
      </w:r>
      <w:r w:rsidRPr="00CB5965">
        <w:rPr>
          <w:rFonts w:cs="Arial"/>
          <w:szCs w:val="20"/>
        </w:rPr>
        <w:t>daří držet pod kontrolou</w:t>
      </w:r>
      <w:r w:rsidR="00681248">
        <w:rPr>
          <w:rFonts w:cs="Arial"/>
          <w:szCs w:val="20"/>
        </w:rPr>
        <w:t xml:space="preserve">, </w:t>
      </w:r>
      <w:r w:rsidR="00A86241">
        <w:rPr>
          <w:rFonts w:cs="Arial"/>
          <w:szCs w:val="20"/>
        </w:rPr>
        <w:t xml:space="preserve">za první pololetí </w:t>
      </w:r>
      <w:r w:rsidRPr="00CB5965">
        <w:rPr>
          <w:rFonts w:cs="Arial"/>
          <w:szCs w:val="20"/>
        </w:rPr>
        <w:t>dosáhly 745 mil. Kč.</w:t>
      </w:r>
      <w:r w:rsidR="00A86241">
        <w:rPr>
          <w:rFonts w:cs="Arial"/>
          <w:szCs w:val="20"/>
        </w:rPr>
        <w:t xml:space="preserve"> </w:t>
      </w:r>
      <w:r w:rsidRPr="00CB5965">
        <w:rPr>
          <w:rFonts w:cs="Arial"/>
          <w:szCs w:val="20"/>
        </w:rPr>
        <w:t>Na úrovni loňského roku jsou i opravné položky. Díky vysoké kvalitě úvěrového portfolia je jejich objem meziročně stejný, a to i přes rekordní růst objemu poskytnutých úvěrů.</w:t>
      </w:r>
    </w:p>
    <w:bookmarkEnd w:id="0"/>
    <w:p w14:paraId="50096476" w14:textId="77777777" w:rsidR="00681248" w:rsidRPr="00CB5965" w:rsidRDefault="00681248" w:rsidP="00CB5965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5D0E05FA" w14:textId="77777777" w:rsidR="000F44C6" w:rsidRPr="000F44C6" w:rsidRDefault="000F44C6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0C8289B2" w14:textId="77777777" w:rsidR="00653746" w:rsidRDefault="00653746" w:rsidP="00FE021E">
      <w:pPr>
        <w:tabs>
          <w:tab w:val="left" w:pos="5103"/>
        </w:tabs>
        <w:spacing w:after="0"/>
        <w:rPr>
          <w:rFonts w:cs="Arial"/>
          <w:b/>
          <w:szCs w:val="20"/>
        </w:rPr>
      </w:pPr>
    </w:p>
    <w:p w14:paraId="7F9BC3CE" w14:textId="41F0E279" w:rsidR="001D3FC4" w:rsidRPr="00127CCF" w:rsidRDefault="00EA38D9" w:rsidP="00FE021E">
      <w:pPr>
        <w:tabs>
          <w:tab w:val="left" w:pos="5103"/>
        </w:tabs>
        <w:spacing w:after="0"/>
        <w:rPr>
          <w:rFonts w:cs="Arial"/>
          <w:szCs w:val="20"/>
        </w:rPr>
      </w:pPr>
      <w:r>
        <w:rPr>
          <w:rFonts w:cs="Arial"/>
          <w:b/>
          <w:szCs w:val="20"/>
        </w:rPr>
        <w:t>Šárka Samková</w:t>
      </w:r>
      <w:r w:rsidR="00FE021E">
        <w:rPr>
          <w:rFonts w:cs="Arial"/>
          <w:b/>
          <w:szCs w:val="20"/>
        </w:rPr>
        <w:br/>
      </w:r>
      <w:r w:rsidR="00E45022">
        <w:rPr>
          <w:rFonts w:cs="Arial"/>
          <w:szCs w:val="20"/>
        </w:rPr>
        <w:t>ředitelka K</w:t>
      </w:r>
      <w:r>
        <w:rPr>
          <w:rFonts w:cs="Arial"/>
          <w:szCs w:val="20"/>
        </w:rPr>
        <w:t>omunikace</w:t>
      </w:r>
      <w:r w:rsidR="001D3FC4" w:rsidRPr="00127CCF">
        <w:rPr>
          <w:rFonts w:cs="Arial"/>
          <w:szCs w:val="20"/>
        </w:rPr>
        <w:t xml:space="preserve"> Sberbank CZ</w:t>
      </w:r>
    </w:p>
    <w:p w14:paraId="15B3B9A3" w14:textId="01C873CB" w:rsidR="001D3FC4" w:rsidRPr="004D6FD7" w:rsidRDefault="0095080D" w:rsidP="00F84DCC">
      <w:pPr>
        <w:tabs>
          <w:tab w:val="left" w:pos="5103"/>
        </w:tabs>
        <w:spacing w:after="0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T</w:t>
      </w:r>
      <w:r w:rsidR="001D3FC4" w:rsidRPr="0095080D">
        <w:rPr>
          <w:rFonts w:cs="Arial"/>
          <w:b/>
          <w:szCs w:val="20"/>
        </w:rPr>
        <w:t>:</w:t>
      </w:r>
      <w:r w:rsidR="001D3FC4" w:rsidRPr="00127CCF">
        <w:rPr>
          <w:rFonts w:cs="Arial"/>
          <w:szCs w:val="20"/>
        </w:rPr>
        <w:t xml:space="preserve"> </w:t>
      </w:r>
      <w:r w:rsidR="001D3FC4" w:rsidRPr="00127CCF">
        <w:rPr>
          <w:rFonts w:cs="Arial"/>
          <w:szCs w:val="20"/>
          <w:lang w:eastAsia="cs-CZ"/>
        </w:rPr>
        <w:t>234</w:t>
      </w:r>
      <w:r w:rsidR="00A1666C">
        <w:rPr>
          <w:rFonts w:cs="Arial"/>
          <w:szCs w:val="20"/>
          <w:lang w:eastAsia="cs-CZ"/>
        </w:rPr>
        <w:t> 706 868</w:t>
      </w:r>
      <w:r w:rsidR="001D3FC4" w:rsidRPr="00127CCF">
        <w:rPr>
          <w:rFonts w:cs="Arial"/>
          <w:szCs w:val="20"/>
        </w:rPr>
        <w:t xml:space="preserve">, </w:t>
      </w:r>
      <w:r w:rsidR="00A1666C">
        <w:rPr>
          <w:rFonts w:cs="Arial"/>
          <w:szCs w:val="20"/>
          <w:lang w:eastAsia="cs-CZ"/>
        </w:rPr>
        <w:t>739 244 492</w:t>
      </w:r>
    </w:p>
    <w:p w14:paraId="2AE5692C" w14:textId="0EABE104" w:rsidR="001D3FC4" w:rsidRPr="00127CCF" w:rsidRDefault="0095080D" w:rsidP="00F84DCC">
      <w:pPr>
        <w:tabs>
          <w:tab w:val="left" w:pos="5103"/>
        </w:tabs>
        <w:spacing w:after="0"/>
        <w:ind w:right="-108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E</w:t>
      </w:r>
      <w:r w:rsidR="001D3FC4" w:rsidRPr="00127CCF">
        <w:rPr>
          <w:rFonts w:cs="Arial"/>
          <w:b/>
          <w:szCs w:val="20"/>
        </w:rPr>
        <w:t>:</w:t>
      </w:r>
      <w:r w:rsidR="001D3FC4" w:rsidRPr="00127CCF">
        <w:rPr>
          <w:rFonts w:cs="Arial"/>
          <w:szCs w:val="20"/>
        </w:rPr>
        <w:t xml:space="preserve"> </w:t>
      </w:r>
      <w:r w:rsidR="00A1666C">
        <w:rPr>
          <w:rFonts w:cs="Arial"/>
          <w:szCs w:val="20"/>
        </w:rPr>
        <w:t>samkova.sarka</w:t>
      </w:r>
      <w:r w:rsidR="001D3FC4" w:rsidRPr="00127CCF">
        <w:rPr>
          <w:rFonts w:cs="Arial"/>
          <w:szCs w:val="20"/>
        </w:rPr>
        <w:t>@sberbankcz.cz</w:t>
      </w:r>
    </w:p>
    <w:p w14:paraId="3E009759" w14:textId="77777777" w:rsidR="001D3FC4" w:rsidRDefault="008E2470" w:rsidP="00F84DCC">
      <w:pPr>
        <w:tabs>
          <w:tab w:val="left" w:pos="5103"/>
        </w:tabs>
        <w:contextualSpacing/>
        <w:jc w:val="both"/>
        <w:rPr>
          <w:rStyle w:val="Hypertextovodkaz"/>
          <w:b/>
          <w:szCs w:val="20"/>
        </w:rPr>
      </w:pPr>
      <w:hyperlink r:id="rId8" w:history="1">
        <w:r w:rsidR="00E326A2" w:rsidRPr="00E0393F">
          <w:rPr>
            <w:rStyle w:val="Hypertextovodkaz"/>
            <w:b/>
            <w:szCs w:val="20"/>
          </w:rPr>
          <w:t>www.sberbank.cz</w:t>
        </w:r>
      </w:hyperlink>
    </w:p>
    <w:p w14:paraId="173DBBAB" w14:textId="77777777" w:rsidR="00083239" w:rsidRDefault="00083239" w:rsidP="00F84DCC">
      <w:pPr>
        <w:tabs>
          <w:tab w:val="left" w:pos="5103"/>
        </w:tabs>
        <w:contextualSpacing/>
        <w:jc w:val="both"/>
        <w:rPr>
          <w:rStyle w:val="Hypertextovodkaz"/>
          <w:b/>
          <w:szCs w:val="20"/>
        </w:rPr>
      </w:pPr>
    </w:p>
    <w:p w14:paraId="3E5BF989" w14:textId="77777777" w:rsidR="00653746" w:rsidRDefault="00653746" w:rsidP="00F84DCC">
      <w:pPr>
        <w:tabs>
          <w:tab w:val="left" w:pos="5103"/>
        </w:tabs>
        <w:contextualSpacing/>
        <w:jc w:val="both"/>
        <w:rPr>
          <w:rStyle w:val="Hypertextovodkaz"/>
          <w:b/>
          <w:szCs w:val="20"/>
        </w:rPr>
      </w:pPr>
    </w:p>
    <w:p w14:paraId="6980C7EC" w14:textId="77777777" w:rsidR="00653746" w:rsidRDefault="00653746" w:rsidP="00F84DCC">
      <w:pPr>
        <w:tabs>
          <w:tab w:val="left" w:pos="5103"/>
        </w:tabs>
        <w:contextualSpacing/>
        <w:jc w:val="both"/>
        <w:rPr>
          <w:rStyle w:val="Hypertextovodkaz"/>
          <w:b/>
          <w:szCs w:val="20"/>
        </w:rPr>
      </w:pPr>
    </w:p>
    <w:p w14:paraId="36555721" w14:textId="77777777" w:rsidR="00083239" w:rsidRDefault="00083239" w:rsidP="00F84DCC">
      <w:pPr>
        <w:tabs>
          <w:tab w:val="left" w:pos="5103"/>
        </w:tabs>
        <w:contextualSpacing/>
        <w:jc w:val="both"/>
      </w:pPr>
    </w:p>
    <w:p w14:paraId="37BB0D6B" w14:textId="77777777" w:rsidR="001D3FC4" w:rsidRPr="00836A71" w:rsidRDefault="008E2470" w:rsidP="00836A71">
      <w:pPr>
        <w:tabs>
          <w:tab w:val="left" w:pos="5103"/>
        </w:tabs>
        <w:contextualSpacing/>
        <w:jc w:val="both"/>
        <w:rPr>
          <w:rFonts w:cs="Arial"/>
          <w:b/>
          <w:color w:val="00703C"/>
          <w:szCs w:val="20"/>
        </w:rPr>
      </w:pPr>
      <w:hyperlink r:id="rId9" w:history="1"/>
      <w:r w:rsidR="00A84F87">
        <w:rPr>
          <w:noProof/>
          <w:lang w:eastAsia="cs-CZ"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43E05EB1" wp14:editId="119D73EF">
                <wp:simplePos x="0" y="0"/>
                <wp:positionH relativeFrom="column">
                  <wp:posOffset>0</wp:posOffset>
                </wp:positionH>
                <wp:positionV relativeFrom="paragraph">
                  <wp:posOffset>55244</wp:posOffset>
                </wp:positionV>
                <wp:extent cx="6509385" cy="0"/>
                <wp:effectExtent l="0" t="0" r="24765" b="19050"/>
                <wp:wrapNone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9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CCD80" id="Přímá spojnice 1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4.35pt" to="512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" strokecolor="#a5a5a5"/>
            </w:pict>
          </mc:Fallback>
        </mc:AlternateContent>
      </w:r>
    </w:p>
    <w:p w14:paraId="1DFEA4C7" w14:textId="77777777" w:rsidR="008607B7" w:rsidRDefault="008607B7" w:rsidP="00F84DCC">
      <w:pPr>
        <w:spacing w:after="0"/>
        <w:jc w:val="both"/>
        <w:rPr>
          <w:rFonts w:cs="Arial"/>
          <w:b/>
          <w:bCs/>
          <w:color w:val="008000"/>
          <w:sz w:val="16"/>
          <w:szCs w:val="16"/>
        </w:rPr>
      </w:pPr>
    </w:p>
    <w:p w14:paraId="4D043724" w14:textId="77777777" w:rsidR="001D3FC4" w:rsidRPr="00836A71" w:rsidRDefault="001D3FC4" w:rsidP="00F84DCC">
      <w:pPr>
        <w:spacing w:after="0"/>
        <w:jc w:val="both"/>
        <w:rPr>
          <w:rFonts w:cs="Arial"/>
          <w:sz w:val="16"/>
          <w:szCs w:val="16"/>
        </w:rPr>
      </w:pPr>
      <w:r w:rsidRPr="00836A71">
        <w:rPr>
          <w:rFonts w:cs="Arial"/>
          <w:b/>
          <w:bCs/>
          <w:color w:val="008000"/>
          <w:sz w:val="16"/>
          <w:szCs w:val="16"/>
        </w:rPr>
        <w:t>O společnosti Sberbank CZ, a.s.</w:t>
      </w:r>
    </w:p>
    <w:p w14:paraId="35C4398B" w14:textId="77777777" w:rsidR="001D3FC4" w:rsidRPr="00836A71" w:rsidRDefault="001D3FC4" w:rsidP="000D1BF7">
      <w:pPr>
        <w:pStyle w:val="Bezmezer1"/>
        <w:spacing w:after="240" w:line="276" w:lineRule="auto"/>
        <w:jc w:val="both"/>
        <w:rPr>
          <w:rFonts w:ascii="Arial" w:hAnsi="Arial" w:cs="Arial"/>
          <w:sz w:val="16"/>
          <w:szCs w:val="16"/>
        </w:rPr>
      </w:pPr>
      <w:r w:rsidRPr="00836A71">
        <w:rPr>
          <w:rFonts w:ascii="Arial" w:hAnsi="Arial" w:cs="Arial"/>
          <w:sz w:val="16"/>
          <w:szCs w:val="16"/>
        </w:rPr>
        <w:t xml:space="preserve">Na českém trhu působí Sberbank CZ již od roku 1993, od 1. ledna 1997 jako samostatná akciová společnost. Jejím majoritním vlastníkem je </w:t>
      </w:r>
      <w:proofErr w:type="spellStart"/>
      <w:r w:rsidRPr="00836A71">
        <w:rPr>
          <w:rFonts w:ascii="Arial" w:hAnsi="Arial" w:cs="Arial"/>
          <w:sz w:val="16"/>
          <w:szCs w:val="16"/>
        </w:rPr>
        <w:t>Sberbank</w:t>
      </w:r>
      <w:proofErr w:type="spellEnd"/>
      <w:r w:rsidRPr="00836A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36A71">
        <w:rPr>
          <w:rFonts w:ascii="Arial" w:hAnsi="Arial" w:cs="Arial"/>
          <w:sz w:val="16"/>
          <w:szCs w:val="16"/>
        </w:rPr>
        <w:t>Europe</w:t>
      </w:r>
      <w:proofErr w:type="spellEnd"/>
      <w:r w:rsidRPr="00836A71">
        <w:rPr>
          <w:rFonts w:ascii="Arial" w:hAnsi="Arial" w:cs="Arial"/>
          <w:sz w:val="16"/>
          <w:szCs w:val="16"/>
        </w:rPr>
        <w:t xml:space="preserve"> AG. Sberbank CZ je obchodní bankou se širokou nabídkou finančních produktů a služeb pro privátní </w:t>
      </w:r>
      <w:r w:rsidRPr="00836A71">
        <w:rPr>
          <w:rFonts w:ascii="Arial" w:hAnsi="Arial" w:cs="Arial"/>
          <w:sz w:val="16"/>
          <w:szCs w:val="16"/>
        </w:rPr>
        <w:br/>
        <w:t xml:space="preserve">i firemní klientelu. Může se pochlubit druhým místem v soutěži </w:t>
      </w:r>
      <w:r w:rsidRPr="00836A71">
        <w:rPr>
          <w:rFonts w:ascii="Arial" w:hAnsi="Arial" w:cs="Arial"/>
          <w:b/>
          <w:sz w:val="16"/>
          <w:szCs w:val="16"/>
        </w:rPr>
        <w:t xml:space="preserve">Klientsky nejpřívětivější banka roku 2016 </w:t>
      </w:r>
      <w:r w:rsidRPr="00836A71">
        <w:rPr>
          <w:rFonts w:ascii="Arial" w:hAnsi="Arial" w:cs="Arial"/>
          <w:sz w:val="16"/>
          <w:szCs w:val="16"/>
        </w:rPr>
        <w:t xml:space="preserve">a spotřebitelská půjčka byla oceněna jako </w:t>
      </w:r>
      <w:r w:rsidRPr="00836A71">
        <w:rPr>
          <w:rFonts w:ascii="Arial" w:hAnsi="Arial" w:cs="Arial"/>
          <w:b/>
          <w:sz w:val="16"/>
          <w:szCs w:val="16"/>
        </w:rPr>
        <w:t xml:space="preserve">Nejlepší finanční produkt roku 2016 </w:t>
      </w:r>
      <w:r w:rsidRPr="00836A71">
        <w:rPr>
          <w:rFonts w:ascii="Arial" w:hAnsi="Arial" w:cs="Arial"/>
          <w:sz w:val="16"/>
          <w:szCs w:val="16"/>
        </w:rPr>
        <w:t>u hlasování veřejnosti.</w:t>
      </w:r>
    </w:p>
    <w:sectPr w:rsidR="001D3FC4" w:rsidRPr="00836A71" w:rsidSect="00612EAB">
      <w:headerReference w:type="default" r:id="rId10"/>
      <w:headerReference w:type="first" r:id="rId11"/>
      <w:footerReference w:type="first" r:id="rId12"/>
      <w:pgSz w:w="11906" w:h="16838" w:code="9"/>
      <w:pgMar w:top="1134" w:right="567" w:bottom="1134" w:left="1134" w:header="107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B9596" w14:textId="77777777" w:rsidR="008E2470" w:rsidRDefault="008E2470" w:rsidP="007A3AA0">
      <w:pPr>
        <w:spacing w:after="0" w:line="240" w:lineRule="auto"/>
      </w:pPr>
      <w:r>
        <w:separator/>
      </w:r>
    </w:p>
  </w:endnote>
  <w:endnote w:type="continuationSeparator" w:id="0">
    <w:p w14:paraId="37749A79" w14:textId="77777777" w:rsidR="008E2470" w:rsidRDefault="008E2470" w:rsidP="007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erif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0ABF" w14:textId="77777777" w:rsidR="00612EAB" w:rsidRPr="00221EBE" w:rsidRDefault="00221EBE" w:rsidP="00221EBE">
    <w:pPr>
      <w:pStyle w:val="Zpat"/>
    </w:pPr>
    <w:r>
      <w:rPr>
        <w:sz w:val="12"/>
        <w:szCs w:val="12"/>
      </w:rPr>
      <w:t>Sberbank CZ, a.s. je zapsaná v obchodním rejstříku vedeném Městským soudem v Praze, spisová značka B 4353.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BA5A3" w14:textId="77777777" w:rsidR="008E2470" w:rsidRDefault="008E2470" w:rsidP="007A3AA0">
      <w:pPr>
        <w:spacing w:after="0" w:line="240" w:lineRule="auto"/>
      </w:pPr>
      <w:r>
        <w:separator/>
      </w:r>
    </w:p>
  </w:footnote>
  <w:footnote w:type="continuationSeparator" w:id="0">
    <w:p w14:paraId="0D509EE6" w14:textId="77777777" w:rsidR="008E2470" w:rsidRDefault="008E2470" w:rsidP="007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16B33" w14:textId="77777777" w:rsidR="007A3AA0" w:rsidRPr="007A3AA0" w:rsidRDefault="007A3AA0" w:rsidP="00341AFD">
    <w:pPr>
      <w:pStyle w:val="Zhlav"/>
      <w:spacing w:line="18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3FE1" w14:textId="77777777" w:rsidR="00442C94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66DB32B0" wp14:editId="0234816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4932680"/>
          <wp:effectExtent l="0" t="0" r="0" b="0"/>
          <wp:wrapNone/>
          <wp:docPr id="9" name="obrázek 9" descr="VB12-999 SBERBANK tiskova zprava 2013-01WORD - podklad - 96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B12-999 SBERBANK tiskova zprava 2013-01WORD - podklad - 96 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93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90715B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18598900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3DE98FC7" w14:textId="77777777" w:rsidR="00382B9D" w:rsidRDefault="007A3376" w:rsidP="00442C94">
    <w:pPr>
      <w:pStyle w:val="Zhlav"/>
      <w:spacing w:line="180" w:lineRule="exact"/>
      <w:rPr>
        <w:rFonts w:cs="Arial"/>
        <w:sz w:val="15"/>
        <w:szCs w:val="15"/>
      </w:rPr>
    </w:pP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2336" behindDoc="1" locked="1" layoutInCell="1" allowOverlap="1" wp14:anchorId="335407E2" wp14:editId="39BF31EF">
          <wp:simplePos x="0" y="0"/>
          <wp:positionH relativeFrom="page">
            <wp:posOffset>6617335</wp:posOffset>
          </wp:positionH>
          <wp:positionV relativeFrom="page">
            <wp:posOffset>568960</wp:posOffset>
          </wp:positionV>
          <wp:extent cx="666000" cy="669600"/>
          <wp:effectExtent l="0" t="0" r="127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B_razitko_Klientsky-nejprivetivejsi-banka_2016_2-misto_CZ_Co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6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1312" behindDoc="1" locked="1" layoutInCell="1" allowOverlap="1" wp14:anchorId="76EB7D94" wp14:editId="433D9C37">
          <wp:simplePos x="0" y="0"/>
          <wp:positionH relativeFrom="page">
            <wp:posOffset>5897245</wp:posOffset>
          </wp:positionH>
          <wp:positionV relativeFrom="page">
            <wp:posOffset>568960</wp:posOffset>
          </wp:positionV>
          <wp:extent cx="669600" cy="669600"/>
          <wp:effectExtent l="0" t="0" r="0" b="0"/>
          <wp:wrapNone/>
          <wp:docPr id="2" name="Obrázek 2" descr="NB_Razítko_Klientsky nejpřívětivější banka 2015 (3 místo)_křivky 4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B_Razítko_Klientsky nejpřívětivější banka 2015 (3 místo)_křivky 400 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0288" behindDoc="1" locked="1" layoutInCell="1" allowOverlap="1" wp14:anchorId="2D9EB0CA" wp14:editId="3BF101CF">
          <wp:simplePos x="0" y="0"/>
          <wp:positionH relativeFrom="page">
            <wp:posOffset>4457065</wp:posOffset>
          </wp:positionH>
          <wp:positionV relativeFrom="page">
            <wp:posOffset>568960</wp:posOffset>
          </wp:positionV>
          <wp:extent cx="673200" cy="6732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2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59264" behindDoc="1" locked="1" layoutInCell="1" allowOverlap="1" wp14:anchorId="27DF4688" wp14:editId="3BA18B33">
          <wp:simplePos x="0" y="0"/>
          <wp:positionH relativeFrom="page">
            <wp:posOffset>5177155</wp:posOffset>
          </wp:positionH>
          <wp:positionV relativeFrom="page">
            <wp:posOffset>568960</wp:posOffset>
          </wp:positionV>
          <wp:extent cx="669600" cy="6732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43DA9C6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0CA6DAAA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781F550A" w14:textId="77777777" w:rsidR="00442C94" w:rsidRPr="00AB7E9D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3F65FB6B" wp14:editId="466B142F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670685" cy="316865"/>
          <wp:effectExtent l="0" t="0" r="0" b="0"/>
          <wp:wrapNone/>
          <wp:docPr id="1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4F87">
      <w:rPr>
        <w:noProof/>
        <w:lang w:eastAsia="cs-CZ"/>
      </w:rPr>
      <mc:AlternateContent>
        <mc:Choice Requires="wps">
          <w:drawing>
            <wp:anchor distT="4294967294" distB="4294967294" distL="114300" distR="114300" simplePos="0" relativeHeight="251655168" behindDoc="0" locked="1" layoutInCell="1" allowOverlap="1" wp14:anchorId="14F22086" wp14:editId="27D6792A">
              <wp:simplePos x="0" y="0"/>
              <wp:positionH relativeFrom="column">
                <wp:posOffset>0</wp:posOffset>
              </wp:positionH>
              <wp:positionV relativeFrom="page">
                <wp:posOffset>2160269</wp:posOffset>
              </wp:positionV>
              <wp:extent cx="6480175" cy="0"/>
              <wp:effectExtent l="0" t="0" r="3492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C8A89" id="Přímá spojnice 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margin;mso-height-relative:page" from="0,170.1pt" to="510.2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" strokecolor="windowText" strokeweight=".5pt">
              <o:lock v:ext="edit" shapetype="f"/>
              <w10:wrap anchory="page"/>
              <w10:anchorlock/>
            </v:line>
          </w:pict>
        </mc:Fallback>
      </mc:AlternateContent>
    </w:r>
    <w:r w:rsidR="00442C94" w:rsidRPr="00AB7E9D">
      <w:rPr>
        <w:rFonts w:cs="Arial"/>
        <w:sz w:val="15"/>
        <w:szCs w:val="15"/>
      </w:rPr>
      <w:t>Sberbank CZ, a.s.</w:t>
    </w:r>
  </w:p>
  <w:p w14:paraId="650E640E" w14:textId="77777777" w:rsidR="00442C94" w:rsidRPr="00AB7E9D" w:rsidRDefault="00901925" w:rsidP="00901925">
    <w:pPr>
      <w:pStyle w:val="Zhlav"/>
      <w:spacing w:line="180" w:lineRule="exact"/>
      <w:rPr>
        <w:rFonts w:cs="Arial"/>
        <w:sz w:val="15"/>
        <w:szCs w:val="15"/>
      </w:rPr>
    </w:pPr>
    <w:r w:rsidRPr="00901925">
      <w:rPr>
        <w:rFonts w:cs="Arial"/>
        <w:sz w:val="15"/>
        <w:szCs w:val="15"/>
      </w:rPr>
      <w:t>U Trezorky 921/2</w:t>
    </w:r>
    <w:r>
      <w:rPr>
        <w:rFonts w:cs="Arial"/>
        <w:sz w:val="15"/>
        <w:szCs w:val="15"/>
      </w:rPr>
      <w:t xml:space="preserve">, </w:t>
    </w:r>
    <w:r w:rsidRPr="00901925">
      <w:rPr>
        <w:rFonts w:cs="Arial"/>
        <w:sz w:val="15"/>
        <w:szCs w:val="15"/>
      </w:rPr>
      <w:t>158 00 Praha 5 - Jinonice</w:t>
    </w:r>
    <w:r w:rsidR="00442C94" w:rsidRPr="00AB7E9D">
      <w:rPr>
        <w:rFonts w:cs="Arial"/>
        <w:sz w:val="15"/>
        <w:szCs w:val="15"/>
      </w:rPr>
      <w:t>, Česká republika</w:t>
    </w:r>
  </w:p>
  <w:p w14:paraId="74215E0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IČ</w:t>
    </w:r>
    <w:r w:rsidR="00787F2D">
      <w:rPr>
        <w:rFonts w:cs="Arial"/>
        <w:sz w:val="15"/>
        <w:szCs w:val="15"/>
      </w:rPr>
      <w:t>O</w:t>
    </w:r>
    <w:r w:rsidRPr="00AB7E9D">
      <w:rPr>
        <w:rFonts w:cs="Arial"/>
        <w:sz w:val="15"/>
        <w:szCs w:val="15"/>
      </w:rPr>
      <w:t>: 25083325, DIČ: CZ25083325</w:t>
    </w:r>
  </w:p>
  <w:p w14:paraId="3F201BF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Bankovní spojení: 8010200037/6800,</w:t>
    </w:r>
    <w:r>
      <w:rPr>
        <w:rFonts w:cs="Arial"/>
        <w:sz w:val="15"/>
        <w:szCs w:val="15"/>
      </w:rPr>
      <w:t xml:space="preserve"> </w:t>
    </w:r>
    <w:r w:rsidRPr="00AB7E9D">
      <w:rPr>
        <w:rFonts w:cs="Arial"/>
        <w:sz w:val="15"/>
        <w:szCs w:val="15"/>
      </w:rPr>
      <w:t>Kód banky: 6800</w:t>
    </w:r>
  </w:p>
  <w:p w14:paraId="4DDC9C6E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IBAN: CZ9468000000008010200037,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BIC: VBOECZ2X</w:t>
    </w:r>
  </w:p>
  <w:p w14:paraId="236A046D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www.sberbank</w:t>
    </w:r>
    <w:r w:rsidR="00787F2D">
      <w:rPr>
        <w:rFonts w:cs="Arial"/>
        <w:sz w:val="15"/>
        <w:szCs w:val="15"/>
      </w:rPr>
      <w:t>cz</w:t>
    </w:r>
    <w:r w:rsidRPr="00AB7E9D">
      <w:rPr>
        <w:rFonts w:cs="Arial"/>
        <w:sz w:val="15"/>
        <w:szCs w:val="15"/>
      </w:rPr>
      <w:t>.cz, Infolinka 800 133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444</w:t>
    </w:r>
  </w:p>
  <w:p w14:paraId="3538829E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53F7CA01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640D63B3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70B6B3F9" w14:textId="77777777" w:rsidR="00442C94" w:rsidRPr="00442C94" w:rsidRDefault="00C060DC" w:rsidP="00442C94">
    <w:pPr>
      <w:pStyle w:val="Zhlav"/>
      <w:spacing w:line="520" w:lineRule="exact"/>
      <w:rPr>
        <w:rFonts w:cs="Arial"/>
        <w:spacing w:val="-10"/>
        <w:sz w:val="52"/>
        <w:szCs w:val="52"/>
      </w:rPr>
    </w:pPr>
    <w:r>
      <w:rPr>
        <w:rFonts w:cs="Arial"/>
        <w:spacing w:val="-10"/>
        <w:sz w:val="52"/>
        <w:szCs w:val="52"/>
      </w:rPr>
      <w:t>TISKOVÁ ZPPRÁVA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E50B0"/>
    <w:multiLevelType w:val="hybridMultilevel"/>
    <w:tmpl w:val="BE067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755EE"/>
    <w:multiLevelType w:val="hybridMultilevel"/>
    <w:tmpl w:val="99A25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71BBC"/>
    <w:multiLevelType w:val="multilevel"/>
    <w:tmpl w:val="52B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DC"/>
    <w:rsid w:val="00001F41"/>
    <w:rsid w:val="00005043"/>
    <w:rsid w:val="00030985"/>
    <w:rsid w:val="00035FE9"/>
    <w:rsid w:val="00042E18"/>
    <w:rsid w:val="000477F3"/>
    <w:rsid w:val="00054B82"/>
    <w:rsid w:val="00067E1D"/>
    <w:rsid w:val="000762DC"/>
    <w:rsid w:val="00083239"/>
    <w:rsid w:val="00095311"/>
    <w:rsid w:val="000977E1"/>
    <w:rsid w:val="000A0F74"/>
    <w:rsid w:val="000A606A"/>
    <w:rsid w:val="000A780E"/>
    <w:rsid w:val="000B7D20"/>
    <w:rsid w:val="000D1BF7"/>
    <w:rsid w:val="000D258C"/>
    <w:rsid w:val="000D387F"/>
    <w:rsid w:val="000E0425"/>
    <w:rsid w:val="000F44C6"/>
    <w:rsid w:val="00102532"/>
    <w:rsid w:val="00105D43"/>
    <w:rsid w:val="00110342"/>
    <w:rsid w:val="001132BC"/>
    <w:rsid w:val="00127F63"/>
    <w:rsid w:val="0014046C"/>
    <w:rsid w:val="001468F6"/>
    <w:rsid w:val="001519AC"/>
    <w:rsid w:val="00155FD0"/>
    <w:rsid w:val="001B2FB6"/>
    <w:rsid w:val="001C7A49"/>
    <w:rsid w:val="001D3760"/>
    <w:rsid w:val="001D3FC4"/>
    <w:rsid w:val="001F1F52"/>
    <w:rsid w:val="002108E0"/>
    <w:rsid w:val="00212B63"/>
    <w:rsid w:val="00221EBE"/>
    <w:rsid w:val="00222D5B"/>
    <w:rsid w:val="0024516B"/>
    <w:rsid w:val="0024533B"/>
    <w:rsid w:val="002637D9"/>
    <w:rsid w:val="002740A9"/>
    <w:rsid w:val="00275052"/>
    <w:rsid w:val="0027618E"/>
    <w:rsid w:val="002A35CC"/>
    <w:rsid w:val="002A35E6"/>
    <w:rsid w:val="002B0EF7"/>
    <w:rsid w:val="002B0EF8"/>
    <w:rsid w:val="002B65C7"/>
    <w:rsid w:val="002C157C"/>
    <w:rsid w:val="002D43AE"/>
    <w:rsid w:val="002E48FF"/>
    <w:rsid w:val="002E6333"/>
    <w:rsid w:val="00315F8C"/>
    <w:rsid w:val="0032195B"/>
    <w:rsid w:val="00336E49"/>
    <w:rsid w:val="00341AFD"/>
    <w:rsid w:val="00371A0B"/>
    <w:rsid w:val="00372C88"/>
    <w:rsid w:val="00382B9D"/>
    <w:rsid w:val="00395963"/>
    <w:rsid w:val="00396E2B"/>
    <w:rsid w:val="003A1B49"/>
    <w:rsid w:val="003C1F67"/>
    <w:rsid w:val="003D045B"/>
    <w:rsid w:val="003E0CDE"/>
    <w:rsid w:val="003E36B9"/>
    <w:rsid w:val="003E74A2"/>
    <w:rsid w:val="00403572"/>
    <w:rsid w:val="004175FA"/>
    <w:rsid w:val="00424303"/>
    <w:rsid w:val="00432CC6"/>
    <w:rsid w:val="00442C94"/>
    <w:rsid w:val="00444AA2"/>
    <w:rsid w:val="0045403D"/>
    <w:rsid w:val="004542BA"/>
    <w:rsid w:val="00472434"/>
    <w:rsid w:val="004726DB"/>
    <w:rsid w:val="00475FD2"/>
    <w:rsid w:val="004A435B"/>
    <w:rsid w:val="004B7D9D"/>
    <w:rsid w:val="004C2890"/>
    <w:rsid w:val="004C6071"/>
    <w:rsid w:val="004C746B"/>
    <w:rsid w:val="004D0DD5"/>
    <w:rsid w:val="004D526B"/>
    <w:rsid w:val="004E1D57"/>
    <w:rsid w:val="004E2092"/>
    <w:rsid w:val="004F1242"/>
    <w:rsid w:val="004F3FF1"/>
    <w:rsid w:val="004F48F9"/>
    <w:rsid w:val="005053FA"/>
    <w:rsid w:val="00507413"/>
    <w:rsid w:val="00531C9C"/>
    <w:rsid w:val="005545FE"/>
    <w:rsid w:val="00565895"/>
    <w:rsid w:val="005659FD"/>
    <w:rsid w:val="00595556"/>
    <w:rsid w:val="005978E4"/>
    <w:rsid w:val="005A375B"/>
    <w:rsid w:val="005A4D36"/>
    <w:rsid w:val="005C578C"/>
    <w:rsid w:val="005E2106"/>
    <w:rsid w:val="005F415A"/>
    <w:rsid w:val="005F61EE"/>
    <w:rsid w:val="00603966"/>
    <w:rsid w:val="006076F4"/>
    <w:rsid w:val="00612EAB"/>
    <w:rsid w:val="00617283"/>
    <w:rsid w:val="00620F53"/>
    <w:rsid w:val="0062300E"/>
    <w:rsid w:val="00637EA0"/>
    <w:rsid w:val="00653746"/>
    <w:rsid w:val="006743AE"/>
    <w:rsid w:val="00681248"/>
    <w:rsid w:val="006A3EB7"/>
    <w:rsid w:val="006A5147"/>
    <w:rsid w:val="006A6C37"/>
    <w:rsid w:val="006B7178"/>
    <w:rsid w:val="006C1827"/>
    <w:rsid w:val="006C5BD5"/>
    <w:rsid w:val="006C7AEF"/>
    <w:rsid w:val="006D3D79"/>
    <w:rsid w:val="006D416D"/>
    <w:rsid w:val="006E6F1A"/>
    <w:rsid w:val="00733C38"/>
    <w:rsid w:val="007436C1"/>
    <w:rsid w:val="00767B7C"/>
    <w:rsid w:val="00776B91"/>
    <w:rsid w:val="00781F05"/>
    <w:rsid w:val="00785133"/>
    <w:rsid w:val="00787F2D"/>
    <w:rsid w:val="00791774"/>
    <w:rsid w:val="007A0499"/>
    <w:rsid w:val="007A3376"/>
    <w:rsid w:val="007A3AA0"/>
    <w:rsid w:val="007A4CCE"/>
    <w:rsid w:val="007B6962"/>
    <w:rsid w:val="007D2198"/>
    <w:rsid w:val="007D34EC"/>
    <w:rsid w:val="007E0226"/>
    <w:rsid w:val="007F2BA2"/>
    <w:rsid w:val="00802E99"/>
    <w:rsid w:val="00810A28"/>
    <w:rsid w:val="00814FA3"/>
    <w:rsid w:val="008223D7"/>
    <w:rsid w:val="00823146"/>
    <w:rsid w:val="00823E44"/>
    <w:rsid w:val="00826974"/>
    <w:rsid w:val="00832312"/>
    <w:rsid w:val="00836A71"/>
    <w:rsid w:val="00850956"/>
    <w:rsid w:val="00857020"/>
    <w:rsid w:val="008607B7"/>
    <w:rsid w:val="0087606E"/>
    <w:rsid w:val="008A29A0"/>
    <w:rsid w:val="008A7333"/>
    <w:rsid w:val="008B229A"/>
    <w:rsid w:val="008C44A7"/>
    <w:rsid w:val="008C529E"/>
    <w:rsid w:val="008D3DB4"/>
    <w:rsid w:val="008E2470"/>
    <w:rsid w:val="008E6292"/>
    <w:rsid w:val="008E6E49"/>
    <w:rsid w:val="008E7915"/>
    <w:rsid w:val="008F5397"/>
    <w:rsid w:val="00901925"/>
    <w:rsid w:val="0090469A"/>
    <w:rsid w:val="00905A06"/>
    <w:rsid w:val="00905A6E"/>
    <w:rsid w:val="00905D7F"/>
    <w:rsid w:val="00920014"/>
    <w:rsid w:val="00926057"/>
    <w:rsid w:val="00934E68"/>
    <w:rsid w:val="0095080D"/>
    <w:rsid w:val="0095518F"/>
    <w:rsid w:val="00970E6B"/>
    <w:rsid w:val="00971664"/>
    <w:rsid w:val="00990FD6"/>
    <w:rsid w:val="009E188F"/>
    <w:rsid w:val="009E5C68"/>
    <w:rsid w:val="00A00C2E"/>
    <w:rsid w:val="00A14D00"/>
    <w:rsid w:val="00A1666C"/>
    <w:rsid w:val="00A16691"/>
    <w:rsid w:val="00A167C5"/>
    <w:rsid w:val="00A25149"/>
    <w:rsid w:val="00A25E35"/>
    <w:rsid w:val="00A303D1"/>
    <w:rsid w:val="00A4367E"/>
    <w:rsid w:val="00A51097"/>
    <w:rsid w:val="00A57EC4"/>
    <w:rsid w:val="00A77047"/>
    <w:rsid w:val="00A80EE0"/>
    <w:rsid w:val="00A84055"/>
    <w:rsid w:val="00A84F87"/>
    <w:rsid w:val="00A86241"/>
    <w:rsid w:val="00A9280D"/>
    <w:rsid w:val="00AA4EEF"/>
    <w:rsid w:val="00AA6D02"/>
    <w:rsid w:val="00AA6ED2"/>
    <w:rsid w:val="00AB47EA"/>
    <w:rsid w:val="00AB7E9D"/>
    <w:rsid w:val="00AC5EDB"/>
    <w:rsid w:val="00AD44BB"/>
    <w:rsid w:val="00AD6EE8"/>
    <w:rsid w:val="00AD7207"/>
    <w:rsid w:val="00AE371F"/>
    <w:rsid w:val="00AF3A76"/>
    <w:rsid w:val="00B1525A"/>
    <w:rsid w:val="00B17C0D"/>
    <w:rsid w:val="00B33694"/>
    <w:rsid w:val="00B4366E"/>
    <w:rsid w:val="00B47493"/>
    <w:rsid w:val="00B807BF"/>
    <w:rsid w:val="00B821FA"/>
    <w:rsid w:val="00B929B9"/>
    <w:rsid w:val="00B934B3"/>
    <w:rsid w:val="00BC3AA9"/>
    <w:rsid w:val="00BD6D74"/>
    <w:rsid w:val="00C02AAF"/>
    <w:rsid w:val="00C05425"/>
    <w:rsid w:val="00C060DC"/>
    <w:rsid w:val="00C06D70"/>
    <w:rsid w:val="00C42C3A"/>
    <w:rsid w:val="00C47B90"/>
    <w:rsid w:val="00C47E12"/>
    <w:rsid w:val="00C5264B"/>
    <w:rsid w:val="00C5550B"/>
    <w:rsid w:val="00C63DD9"/>
    <w:rsid w:val="00C75C45"/>
    <w:rsid w:val="00C81348"/>
    <w:rsid w:val="00C839B5"/>
    <w:rsid w:val="00C90C7F"/>
    <w:rsid w:val="00C95A84"/>
    <w:rsid w:val="00C9637C"/>
    <w:rsid w:val="00CA1BAA"/>
    <w:rsid w:val="00CA580D"/>
    <w:rsid w:val="00CB5965"/>
    <w:rsid w:val="00CC2688"/>
    <w:rsid w:val="00CD7538"/>
    <w:rsid w:val="00CE2B78"/>
    <w:rsid w:val="00D02481"/>
    <w:rsid w:val="00D265CC"/>
    <w:rsid w:val="00D34D48"/>
    <w:rsid w:val="00D37385"/>
    <w:rsid w:val="00D47315"/>
    <w:rsid w:val="00D534E6"/>
    <w:rsid w:val="00D60B6F"/>
    <w:rsid w:val="00D615DD"/>
    <w:rsid w:val="00D639C3"/>
    <w:rsid w:val="00D66D9B"/>
    <w:rsid w:val="00D8232B"/>
    <w:rsid w:val="00D909BA"/>
    <w:rsid w:val="00DD45A4"/>
    <w:rsid w:val="00DE3885"/>
    <w:rsid w:val="00DF6CFD"/>
    <w:rsid w:val="00E011A4"/>
    <w:rsid w:val="00E054F6"/>
    <w:rsid w:val="00E12519"/>
    <w:rsid w:val="00E163A1"/>
    <w:rsid w:val="00E249A8"/>
    <w:rsid w:val="00E25845"/>
    <w:rsid w:val="00E31D38"/>
    <w:rsid w:val="00E326A2"/>
    <w:rsid w:val="00E37672"/>
    <w:rsid w:val="00E45022"/>
    <w:rsid w:val="00E60DC0"/>
    <w:rsid w:val="00E73453"/>
    <w:rsid w:val="00E90EEC"/>
    <w:rsid w:val="00EA2975"/>
    <w:rsid w:val="00EA38D9"/>
    <w:rsid w:val="00EB578D"/>
    <w:rsid w:val="00EC09CF"/>
    <w:rsid w:val="00ED3EB8"/>
    <w:rsid w:val="00EE1E1D"/>
    <w:rsid w:val="00EE7FDF"/>
    <w:rsid w:val="00F01F56"/>
    <w:rsid w:val="00F03C60"/>
    <w:rsid w:val="00F27800"/>
    <w:rsid w:val="00F33A95"/>
    <w:rsid w:val="00F37617"/>
    <w:rsid w:val="00F43763"/>
    <w:rsid w:val="00F45E10"/>
    <w:rsid w:val="00F5257E"/>
    <w:rsid w:val="00F53902"/>
    <w:rsid w:val="00F61265"/>
    <w:rsid w:val="00F7683F"/>
    <w:rsid w:val="00F84937"/>
    <w:rsid w:val="00F84DCC"/>
    <w:rsid w:val="00F960E9"/>
    <w:rsid w:val="00FB1857"/>
    <w:rsid w:val="00FD3A3A"/>
    <w:rsid w:val="00FD722C"/>
    <w:rsid w:val="00FE021E"/>
    <w:rsid w:val="00FE6BCF"/>
    <w:rsid w:val="00FF40D4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6681E"/>
  <w15:docId w15:val="{ADBB41F8-9B1F-432C-80AB-4093375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060DC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A2975"/>
    <w:pPr>
      <w:keepNext/>
      <w:spacing w:before="240" w:after="60"/>
      <w:outlineLvl w:val="0"/>
    </w:pPr>
    <w:rPr>
      <w:rFonts w:eastAsia="Times New Roman"/>
      <w:b/>
      <w:bCs/>
      <w:color w:val="00703C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7EA0"/>
    <w:pPr>
      <w:keepNext/>
      <w:spacing w:before="240" w:after="60"/>
      <w:outlineLvl w:val="1"/>
    </w:pPr>
    <w:rPr>
      <w:rFonts w:eastAsia="Times New Roman"/>
      <w:bCs/>
      <w:iCs/>
      <w:color w:val="646464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3AA0"/>
  </w:style>
  <w:style w:type="paragraph" w:styleId="Zpat">
    <w:name w:val="footer"/>
    <w:basedOn w:val="Normln"/>
    <w:link w:val="Zpat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3AA0"/>
  </w:style>
  <w:style w:type="paragraph" w:styleId="Textbubliny">
    <w:name w:val="Balloon Text"/>
    <w:basedOn w:val="Normln"/>
    <w:link w:val="TextbublinyChar"/>
    <w:uiPriority w:val="99"/>
    <w:semiHidden/>
    <w:unhideWhenUsed/>
    <w:rsid w:val="007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A3AA0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A2975"/>
    <w:rPr>
      <w:rFonts w:ascii="Arial" w:eastAsia="Times New Roman" w:hAnsi="Arial" w:cs="Times New Roman"/>
      <w:b/>
      <w:bCs/>
      <w:color w:val="00703C"/>
      <w:kern w:val="32"/>
      <w:sz w:val="32"/>
      <w:szCs w:val="32"/>
      <w:lang w:eastAsia="en-US"/>
    </w:rPr>
  </w:style>
  <w:style w:type="paragraph" w:styleId="Bezmezer">
    <w:name w:val="No Spacing"/>
    <w:uiPriority w:val="1"/>
    <w:qFormat/>
    <w:rsid w:val="00637EA0"/>
    <w:rPr>
      <w:rFonts w:ascii="Arial" w:hAnsi="Arial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7EA0"/>
    <w:pPr>
      <w:spacing w:after="60"/>
      <w:jc w:val="center"/>
      <w:outlineLvl w:val="1"/>
    </w:pPr>
    <w:rPr>
      <w:rFonts w:eastAsia="Times New Roman"/>
      <w:color w:val="00703C"/>
      <w:sz w:val="24"/>
      <w:szCs w:val="24"/>
    </w:rPr>
  </w:style>
  <w:style w:type="character" w:customStyle="1" w:styleId="PodnadpisChar">
    <w:name w:val="Podnadpis Char"/>
    <w:link w:val="Podnadpis"/>
    <w:uiPriority w:val="11"/>
    <w:rsid w:val="00637EA0"/>
    <w:rPr>
      <w:rFonts w:ascii="Arial" w:eastAsia="Times New Roman" w:hAnsi="Arial" w:cs="Times New Roman"/>
      <w:color w:val="00703C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37EA0"/>
    <w:pPr>
      <w:spacing w:before="240" w:after="60"/>
      <w:outlineLvl w:val="0"/>
    </w:pPr>
    <w:rPr>
      <w:rFonts w:eastAsia="Times New Roman"/>
      <w:bCs/>
      <w:kern w:val="28"/>
      <w:sz w:val="52"/>
      <w:szCs w:val="32"/>
    </w:rPr>
  </w:style>
  <w:style w:type="character" w:customStyle="1" w:styleId="NzevChar">
    <w:name w:val="Název Char"/>
    <w:link w:val="Nzev"/>
    <w:uiPriority w:val="10"/>
    <w:rsid w:val="00637EA0"/>
    <w:rPr>
      <w:rFonts w:ascii="Arial" w:eastAsia="Times New Roman" w:hAnsi="Arial" w:cs="Times New Roman"/>
      <w:bCs/>
      <w:kern w:val="28"/>
      <w:sz w:val="5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37EA0"/>
    <w:rPr>
      <w:rFonts w:ascii="Arial" w:eastAsia="Times New Roman" w:hAnsi="Arial" w:cs="Times New Roman"/>
      <w:bCs/>
      <w:iCs/>
      <w:color w:val="646464"/>
      <w:sz w:val="28"/>
      <w:szCs w:val="28"/>
      <w:lang w:eastAsia="en-US"/>
    </w:rPr>
  </w:style>
  <w:style w:type="character" w:customStyle="1" w:styleId="Zvraznn1">
    <w:name w:val="Zvýraznění1"/>
    <w:uiPriority w:val="20"/>
    <w:qFormat/>
    <w:rsid w:val="00637EA0"/>
    <w:rPr>
      <w:rFonts w:ascii="Arial" w:hAnsi="Arial"/>
      <w:b w:val="0"/>
      <w:i w:val="0"/>
      <w:iCs/>
      <w:color w:val="00703C"/>
      <w:sz w:val="20"/>
    </w:rPr>
  </w:style>
  <w:style w:type="character" w:styleId="Zdraznnjemn">
    <w:name w:val="Subtle Emphasis"/>
    <w:uiPriority w:val="19"/>
    <w:qFormat/>
    <w:rsid w:val="00637EA0"/>
    <w:rPr>
      <w:rFonts w:ascii="Arial" w:hAnsi="Arial"/>
      <w:b/>
      <w:i w:val="0"/>
      <w:iCs/>
      <w:color w:val="00703C"/>
      <w:sz w:val="20"/>
    </w:rPr>
  </w:style>
  <w:style w:type="character" w:styleId="Siln">
    <w:name w:val="Strong"/>
    <w:uiPriority w:val="22"/>
    <w:qFormat/>
    <w:rsid w:val="00637EA0"/>
    <w:rPr>
      <w:rFonts w:ascii="Arial" w:hAnsi="Arial"/>
      <w:b/>
      <w:bCs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928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80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80D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8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80D"/>
    <w:rPr>
      <w:rFonts w:ascii="Arial" w:hAnsi="Arial"/>
      <w:b/>
      <w:bCs/>
      <w:lang w:eastAsia="en-US"/>
    </w:rPr>
  </w:style>
  <w:style w:type="character" w:styleId="Hypertextovodkaz">
    <w:name w:val="Hyperlink"/>
    <w:basedOn w:val="Standardnpsmoodstavce"/>
    <w:uiPriority w:val="99"/>
    <w:unhideWhenUsed/>
    <w:rsid w:val="005A4D36"/>
    <w:rPr>
      <w:color w:val="0563C1" w:themeColor="hyperlink"/>
      <w:u w:val="single"/>
    </w:rPr>
  </w:style>
  <w:style w:type="paragraph" w:customStyle="1" w:styleId="Bezmezer1">
    <w:name w:val="Bez mezer1"/>
    <w:uiPriority w:val="99"/>
    <w:rsid w:val="001D3FC4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26974"/>
    <w:pPr>
      <w:spacing w:before="100" w:beforeAutospacing="1" w:after="360" w:line="240" w:lineRule="auto"/>
    </w:pPr>
    <w:rPr>
      <w:rFonts w:ascii="Noto Serif" w:eastAsia="Times New Roman" w:hAnsi="Noto Serif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07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Revize">
    <w:name w:val="Revision"/>
    <w:hidden/>
    <w:uiPriority w:val="99"/>
    <w:semiHidden/>
    <w:rsid w:val="008A7333"/>
    <w:rPr>
      <w:rFonts w:ascii="Arial" w:hAnsi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407">
                      <w:marLeft w:val="33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0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berbankCZ.cz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D5DF2-FBEB-442C-B054-5C20004E3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KEIES GRAPHICS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Sberbank CZ, a.s.</dc:creator>
  <cp:lastModifiedBy>Šárka</cp:lastModifiedBy>
  <cp:revision>2</cp:revision>
  <cp:lastPrinted>2017-07-19T09:26:00Z</cp:lastPrinted>
  <dcterms:created xsi:type="dcterms:W3CDTF">2017-07-31T14:12:00Z</dcterms:created>
  <dcterms:modified xsi:type="dcterms:W3CDTF">2017-07-31T14:12:00Z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erank-DocumentTagging.ClassificationMark.P00">
    <vt:lpwstr>&lt;ClassificationMark xmlns:xsi="http://www.w3.org/2001/XMLSchema-instance" xmlns:xsd="http://www.w3.org/2001/XMLSchema" margin="NaN" class="C0" owner="Sberbank CZ, a.s." position="TopRight" marginX="0" marginY="0" classifiedOn="2017-06-04T21:15:08.635</vt:lpwstr>
  </property>
  <property fmtid="{D5CDD505-2E9C-101B-9397-08002B2CF9AE}" pid="3" name="sberank-DocumentTagging.ClassificationMark.P01">
    <vt:lpwstr>7278+02:00" showPrintedBy="false" showPrintDate="false" language="cs" ApplicationVersion="Microsoft Word, 15.0" addinVersion="5.8.7.0" template="SBERBANK"&gt;&lt;history bulk="false" class="Veřejné" code="C0" user="Samková Šárka" date="2017-06-04T21:15:08.</vt:lpwstr>
  </property>
  <property fmtid="{D5CDD505-2E9C-101B-9397-08002B2CF9AE}" pid="4" name="sberank-DocumentTagging.ClassificationMark.P02">
    <vt:lpwstr>8229278+02:00" /&gt;&lt;recipients /&gt;&lt;documentOwners /&gt;&lt;/ClassificationMark&gt;</vt:lpwstr>
  </property>
  <property fmtid="{D5CDD505-2E9C-101B-9397-08002B2CF9AE}" pid="5" name="sberank-DocumentTagging.ClassificationMark">
    <vt:lpwstr>￼PARTS:3</vt:lpwstr>
  </property>
  <property fmtid="{D5CDD505-2E9C-101B-9397-08002B2CF9AE}" pid="6" name="sberank-DocumentClasification">
    <vt:lpwstr>Veřejné</vt:lpwstr>
  </property>
  <property fmtid="{D5CDD505-2E9C-101B-9397-08002B2CF9AE}" pid="7" name="sberank-DLP">
    <vt:lpwstr>sberank-DLP:Public</vt:lpwstr>
  </property>
</Properties>
</file>