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31F98" w14:textId="1300B860" w:rsidR="00A2182A" w:rsidRDefault="006B0F23" w:rsidP="00D5398C">
      <w:pPr>
        <w:spacing w:line="360" w:lineRule="auto"/>
        <w:jc w:val="left"/>
        <w:rPr>
          <w:b/>
          <w:sz w:val="36"/>
          <w:szCs w:val="36"/>
          <w:lang w:val="cs-CZ"/>
        </w:rPr>
      </w:pPr>
      <w:r w:rsidRPr="006B0F23">
        <w:rPr>
          <w:b/>
          <w:sz w:val="36"/>
          <w:szCs w:val="36"/>
          <w:lang w:val="cs-CZ"/>
        </w:rPr>
        <w:t>Jak pomůže pojištění schopnosti splácet při úrazu, nemoci či péči o rodiče</w:t>
      </w:r>
      <w:r>
        <w:rPr>
          <w:b/>
          <w:sz w:val="36"/>
          <w:szCs w:val="36"/>
          <w:lang w:val="cs-CZ"/>
        </w:rPr>
        <w:t>?</w:t>
      </w:r>
    </w:p>
    <w:p w14:paraId="40B4FDDD" w14:textId="77777777" w:rsidR="006B0F23" w:rsidRDefault="006B0F23" w:rsidP="00D5398C">
      <w:pPr>
        <w:spacing w:line="360" w:lineRule="auto"/>
        <w:jc w:val="left"/>
        <w:rPr>
          <w:b/>
          <w:sz w:val="36"/>
          <w:szCs w:val="36"/>
          <w:lang w:val="cs-CZ"/>
        </w:rPr>
      </w:pPr>
    </w:p>
    <w:p w14:paraId="4C3FF345" w14:textId="7A5A0AA8" w:rsidR="003F6D05" w:rsidRPr="003F6D05" w:rsidRDefault="003F6D05" w:rsidP="003F6D05">
      <w:pPr>
        <w:spacing w:line="360" w:lineRule="auto"/>
        <w:rPr>
          <w:sz w:val="28"/>
          <w:szCs w:val="28"/>
          <w:lang w:val="cs-CZ"/>
        </w:rPr>
      </w:pPr>
      <w:r w:rsidRPr="003F6D05">
        <w:rPr>
          <w:sz w:val="28"/>
          <w:szCs w:val="28"/>
          <w:lang w:val="cs-CZ"/>
        </w:rPr>
        <w:t xml:space="preserve">Odpovídá: Martin Steiner, obchodní ředitel BNP Paribas </w:t>
      </w:r>
      <w:proofErr w:type="spellStart"/>
      <w:r w:rsidRPr="003F6D05">
        <w:rPr>
          <w:sz w:val="28"/>
          <w:szCs w:val="28"/>
          <w:lang w:val="cs-CZ"/>
        </w:rPr>
        <w:t>Cardif</w:t>
      </w:r>
      <w:proofErr w:type="spellEnd"/>
      <w:r w:rsidRPr="003F6D05">
        <w:rPr>
          <w:sz w:val="28"/>
          <w:szCs w:val="28"/>
          <w:lang w:val="cs-CZ"/>
        </w:rPr>
        <w:t xml:space="preserve"> Pojišťovna</w:t>
      </w:r>
      <w:r w:rsidR="008B47FE">
        <w:rPr>
          <w:sz w:val="28"/>
          <w:szCs w:val="28"/>
          <w:lang w:val="cs-CZ"/>
        </w:rPr>
        <w:t xml:space="preserve"> </w:t>
      </w:r>
    </w:p>
    <w:p w14:paraId="4C646ADE" w14:textId="77777777" w:rsidR="00EF66F2" w:rsidRDefault="00EF66F2" w:rsidP="0057373E">
      <w:pPr>
        <w:pBdr>
          <w:bottom w:val="single" w:sz="6" w:space="1" w:color="auto"/>
        </w:pBdr>
        <w:spacing w:line="360" w:lineRule="auto"/>
        <w:jc w:val="center"/>
        <w:rPr>
          <w:lang w:val="cs-CZ"/>
        </w:rPr>
      </w:pPr>
    </w:p>
    <w:p w14:paraId="4364A775" w14:textId="77777777" w:rsidR="003F6D05" w:rsidRDefault="003F6D05" w:rsidP="0057373E">
      <w:pPr>
        <w:spacing w:line="360" w:lineRule="auto"/>
        <w:jc w:val="center"/>
        <w:rPr>
          <w:lang w:val="cs-CZ"/>
        </w:rPr>
      </w:pPr>
    </w:p>
    <w:p w14:paraId="0779010F" w14:textId="77777777" w:rsidR="00BB78AD" w:rsidRPr="00FF76C5" w:rsidRDefault="00A2182A" w:rsidP="0036466B">
      <w:pPr>
        <w:spacing w:line="360" w:lineRule="auto"/>
        <w:rPr>
          <w:b/>
          <w:szCs w:val="22"/>
          <w:lang w:val="cs-CZ"/>
        </w:rPr>
      </w:pPr>
      <w:bookmarkStart w:id="0" w:name="_GoBack"/>
      <w:r w:rsidRPr="00A2182A">
        <w:rPr>
          <w:b/>
          <w:szCs w:val="22"/>
          <w:lang w:val="cs-CZ"/>
        </w:rPr>
        <w:t>V případě, že se mi stane nějaký vážný úraz, kvůli kterému nebudu schopný splácet hypotéku, jak mi pojištění pomůže? Doplatí za mě pojišťovna hypotéku a půjčky, nebo je bude splácet?</w:t>
      </w:r>
      <w:r w:rsidR="005071B0">
        <w:rPr>
          <w:b/>
          <w:szCs w:val="22"/>
          <w:lang w:val="cs-CZ"/>
        </w:rPr>
        <w:t xml:space="preserve"> </w:t>
      </w:r>
      <w:r w:rsidRPr="00A2182A">
        <w:rPr>
          <w:b/>
          <w:szCs w:val="22"/>
          <w:lang w:val="cs-CZ"/>
        </w:rPr>
        <w:t xml:space="preserve">  </w:t>
      </w:r>
    </w:p>
    <w:p w14:paraId="482A4FDA" w14:textId="77777777" w:rsidR="00A2182A" w:rsidRDefault="00A2182A" w:rsidP="00A2182A">
      <w:pPr>
        <w:spacing w:line="360" w:lineRule="auto"/>
        <w:rPr>
          <w:szCs w:val="22"/>
          <w:lang w:val="cs-CZ"/>
        </w:rPr>
      </w:pPr>
    </w:p>
    <w:p w14:paraId="1A4628E7" w14:textId="5C828A21" w:rsidR="00A2182A" w:rsidRPr="00A2182A" w:rsidRDefault="00A2182A" w:rsidP="00A2182A">
      <w:pPr>
        <w:spacing w:line="360" w:lineRule="auto"/>
        <w:rPr>
          <w:szCs w:val="22"/>
          <w:lang w:val="cs-CZ"/>
        </w:rPr>
      </w:pPr>
      <w:r w:rsidRPr="00A2182A">
        <w:rPr>
          <w:szCs w:val="22"/>
          <w:lang w:val="cs-CZ"/>
        </w:rPr>
        <w:t xml:space="preserve">Pojištění schopnosti splácet pomůže v případě výpadku příjmu se splácením hypotéky, spotřebitelského úvěru, osobní půjčky, kreditní karty, kontokorentu, leasingu, ale i Peer2Peer půjček. Dnes si lze takto pojistit schopnost splácet všechny typy úvěrů a doporučuje </w:t>
      </w:r>
      <w:r w:rsidR="008B47FE">
        <w:rPr>
          <w:szCs w:val="22"/>
          <w:lang w:val="cs-CZ"/>
        </w:rPr>
        <w:t xml:space="preserve">se </w:t>
      </w:r>
      <w:r w:rsidRPr="00A2182A">
        <w:rPr>
          <w:szCs w:val="22"/>
          <w:lang w:val="cs-CZ"/>
        </w:rPr>
        <w:t xml:space="preserve">zvážit také u kreditních karet, kde proměnlivá výše dlužné částky může nepříjemně překvapit rodinný rozpočet. </w:t>
      </w:r>
    </w:p>
    <w:p w14:paraId="109BDD12" w14:textId="77777777" w:rsidR="00A2182A" w:rsidRPr="00A2182A" w:rsidRDefault="00A2182A" w:rsidP="00A2182A">
      <w:pPr>
        <w:spacing w:line="360" w:lineRule="auto"/>
        <w:rPr>
          <w:szCs w:val="22"/>
          <w:lang w:val="cs-CZ"/>
        </w:rPr>
      </w:pPr>
      <w:r w:rsidRPr="00A2182A">
        <w:rPr>
          <w:szCs w:val="22"/>
          <w:lang w:val="cs-CZ"/>
        </w:rPr>
        <w:t xml:space="preserve"> </w:t>
      </w:r>
    </w:p>
    <w:p w14:paraId="467CA307" w14:textId="16FA0A87" w:rsidR="00FF76C5" w:rsidRDefault="00A2182A" w:rsidP="00A2182A">
      <w:pPr>
        <w:spacing w:line="360" w:lineRule="auto"/>
        <w:rPr>
          <w:szCs w:val="22"/>
          <w:lang w:val="cs-CZ"/>
        </w:rPr>
      </w:pPr>
      <w:r w:rsidRPr="00A2182A">
        <w:rPr>
          <w:szCs w:val="22"/>
          <w:lang w:val="cs-CZ"/>
        </w:rPr>
        <w:t xml:space="preserve">Pokud při pojištění dojde k nejtěžším událostem, jako je úmrtí či invalidita III. stupně pojištěného, je pojišťovnou uhrazena dosud nesplacená část úvěru. V ostatních případech pojistných událostí </w:t>
      </w:r>
      <w:r w:rsidR="007E58CB">
        <w:rPr>
          <w:szCs w:val="22"/>
          <w:lang w:val="cs-CZ"/>
        </w:rPr>
        <w:t>přebírá</w:t>
      </w:r>
      <w:r w:rsidR="007E58CB" w:rsidRPr="00A2182A">
        <w:rPr>
          <w:szCs w:val="22"/>
          <w:lang w:val="cs-CZ"/>
        </w:rPr>
        <w:t xml:space="preserve"> </w:t>
      </w:r>
      <w:r w:rsidRPr="00A2182A">
        <w:rPr>
          <w:szCs w:val="22"/>
          <w:lang w:val="cs-CZ"/>
        </w:rPr>
        <w:t>pojišťovn</w:t>
      </w:r>
      <w:r w:rsidR="007E58CB">
        <w:rPr>
          <w:szCs w:val="22"/>
          <w:lang w:val="cs-CZ"/>
        </w:rPr>
        <w:t>a</w:t>
      </w:r>
      <w:r w:rsidRPr="00A2182A">
        <w:rPr>
          <w:szCs w:val="22"/>
          <w:lang w:val="cs-CZ"/>
        </w:rPr>
        <w:t xml:space="preserve"> </w:t>
      </w:r>
      <w:r w:rsidR="00914D07">
        <w:rPr>
          <w:szCs w:val="22"/>
          <w:lang w:val="cs-CZ"/>
        </w:rPr>
        <w:t>za klienta</w:t>
      </w:r>
      <w:r w:rsidRPr="00A2182A">
        <w:rPr>
          <w:szCs w:val="22"/>
          <w:lang w:val="cs-CZ"/>
        </w:rPr>
        <w:t xml:space="preserve"> </w:t>
      </w:r>
      <w:r w:rsidR="007E58CB">
        <w:rPr>
          <w:szCs w:val="22"/>
          <w:lang w:val="cs-CZ"/>
        </w:rPr>
        <w:t>ú</w:t>
      </w:r>
      <w:r w:rsidRPr="00A2182A">
        <w:rPr>
          <w:szCs w:val="22"/>
          <w:lang w:val="cs-CZ"/>
        </w:rPr>
        <w:t>hra</w:t>
      </w:r>
      <w:r w:rsidR="007E58CB">
        <w:rPr>
          <w:szCs w:val="22"/>
          <w:lang w:val="cs-CZ"/>
        </w:rPr>
        <w:t>du</w:t>
      </w:r>
      <w:r w:rsidRPr="00A2182A">
        <w:rPr>
          <w:szCs w:val="22"/>
          <w:lang w:val="cs-CZ"/>
        </w:rPr>
        <w:t xml:space="preserve"> jednotliv</w:t>
      </w:r>
      <w:r w:rsidR="007E58CB">
        <w:rPr>
          <w:szCs w:val="22"/>
          <w:lang w:val="cs-CZ"/>
        </w:rPr>
        <w:t>ých</w:t>
      </w:r>
      <w:r w:rsidRPr="00A2182A">
        <w:rPr>
          <w:szCs w:val="22"/>
          <w:lang w:val="cs-CZ"/>
        </w:rPr>
        <w:t xml:space="preserve"> měsíční</w:t>
      </w:r>
      <w:r w:rsidR="007E58CB">
        <w:rPr>
          <w:szCs w:val="22"/>
          <w:lang w:val="cs-CZ"/>
        </w:rPr>
        <w:t>ch</w:t>
      </w:r>
      <w:r w:rsidRPr="00A2182A">
        <w:rPr>
          <w:szCs w:val="22"/>
          <w:lang w:val="cs-CZ"/>
        </w:rPr>
        <w:t xml:space="preserve"> splát</w:t>
      </w:r>
      <w:r w:rsidR="007E58CB">
        <w:rPr>
          <w:szCs w:val="22"/>
          <w:lang w:val="cs-CZ"/>
        </w:rPr>
        <w:t>e</w:t>
      </w:r>
      <w:r w:rsidRPr="00A2182A">
        <w:rPr>
          <w:szCs w:val="22"/>
          <w:lang w:val="cs-CZ"/>
        </w:rPr>
        <w:t>k. V případě kreditních karet</w:t>
      </w:r>
      <w:r w:rsidR="007E58CB">
        <w:rPr>
          <w:szCs w:val="22"/>
          <w:lang w:val="cs-CZ"/>
        </w:rPr>
        <w:t xml:space="preserve"> či kontokorentů</w:t>
      </w:r>
      <w:r w:rsidRPr="00A2182A">
        <w:rPr>
          <w:szCs w:val="22"/>
          <w:lang w:val="cs-CZ"/>
        </w:rPr>
        <w:t xml:space="preserve"> dokonce pojišťovna vyplat</w:t>
      </w:r>
      <w:r w:rsidR="007E58CB">
        <w:rPr>
          <w:szCs w:val="22"/>
          <w:lang w:val="cs-CZ"/>
        </w:rPr>
        <w:t>í</w:t>
      </w:r>
      <w:r w:rsidRPr="00A2182A">
        <w:rPr>
          <w:szCs w:val="22"/>
          <w:lang w:val="cs-CZ"/>
        </w:rPr>
        <w:t xml:space="preserve"> </w:t>
      </w:r>
      <w:r w:rsidR="007E58CB">
        <w:rPr>
          <w:szCs w:val="22"/>
          <w:lang w:val="cs-CZ"/>
        </w:rPr>
        <w:t>zbývající dlužnou</w:t>
      </w:r>
      <w:r w:rsidRPr="00A2182A">
        <w:rPr>
          <w:szCs w:val="22"/>
          <w:lang w:val="cs-CZ"/>
        </w:rPr>
        <w:t xml:space="preserve"> částku, jako v případě úmrtí.</w:t>
      </w:r>
    </w:p>
    <w:p w14:paraId="368712D1" w14:textId="77777777" w:rsidR="00A2182A" w:rsidRDefault="00A2182A" w:rsidP="00A2182A">
      <w:pPr>
        <w:spacing w:line="360" w:lineRule="auto"/>
        <w:rPr>
          <w:szCs w:val="22"/>
          <w:lang w:val="cs-CZ"/>
        </w:rPr>
      </w:pPr>
    </w:p>
    <w:p w14:paraId="76E9BC81" w14:textId="77777777" w:rsidR="00A2182A" w:rsidRDefault="00A2182A" w:rsidP="00FF76C5">
      <w:pPr>
        <w:spacing w:line="360" w:lineRule="auto"/>
        <w:rPr>
          <w:b/>
          <w:szCs w:val="22"/>
          <w:lang w:val="cs-CZ"/>
        </w:rPr>
      </w:pPr>
    </w:p>
    <w:p w14:paraId="7FF1A63B" w14:textId="77777777" w:rsidR="00D631B2" w:rsidRDefault="00A2182A" w:rsidP="00FF76C5">
      <w:pPr>
        <w:spacing w:line="360" w:lineRule="auto"/>
        <w:rPr>
          <w:b/>
          <w:szCs w:val="22"/>
          <w:lang w:val="cs-CZ"/>
        </w:rPr>
      </w:pPr>
      <w:r w:rsidRPr="00A2182A">
        <w:rPr>
          <w:b/>
          <w:szCs w:val="22"/>
          <w:lang w:val="cs-CZ"/>
        </w:rPr>
        <w:t xml:space="preserve">Vyplácí pojišťovna celou náhradu příjmu nebo splácí pouze závazky, které klient má a není v době nemoci schopen splácet?  </w:t>
      </w:r>
    </w:p>
    <w:p w14:paraId="748331EC" w14:textId="77777777" w:rsidR="00A2182A" w:rsidRDefault="00A2182A" w:rsidP="00FF76C5">
      <w:pPr>
        <w:spacing w:line="360" w:lineRule="auto"/>
        <w:rPr>
          <w:b/>
          <w:szCs w:val="22"/>
          <w:lang w:val="cs-CZ"/>
        </w:rPr>
      </w:pPr>
    </w:p>
    <w:p w14:paraId="681F1AC0" w14:textId="77777777" w:rsidR="00A6533D" w:rsidRDefault="00A2182A" w:rsidP="00DF46B9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J</w:t>
      </w:r>
      <w:r w:rsidRPr="00A2182A">
        <w:rPr>
          <w:szCs w:val="22"/>
          <w:lang w:val="cs-CZ"/>
        </w:rPr>
        <w:t>edná se o pojištění schopnosti splácet úvěr. Proto pojišťovna v případě uznané pojistné události platí pojištěný závazek nebo jeho splátku. Konkrétně, pokud dojde k úmrtí či invaliditě III. stupně pojištěného, je pojišťovnou uhrazena dosud nesplacená část úvěru. V ostatních případech pojistných událostí jsou pojišťovnou v rámci plnění uhrazeny jednotlivé měsíční splátky pojištěného úvěru. Pojištění lze sjednat ke všem typům úvěrů od hypotéky až po vyčerpanou část úvěrového rámce na kreditní kartě.</w:t>
      </w:r>
    </w:p>
    <w:p w14:paraId="0C5226DF" w14:textId="77777777" w:rsidR="00B046FC" w:rsidRDefault="00B046FC" w:rsidP="00DF46B9">
      <w:pPr>
        <w:spacing w:line="360" w:lineRule="auto"/>
        <w:rPr>
          <w:szCs w:val="22"/>
          <w:lang w:val="cs-CZ"/>
        </w:rPr>
      </w:pPr>
    </w:p>
    <w:p w14:paraId="46A9FACC" w14:textId="77777777" w:rsidR="00B046FC" w:rsidRDefault="00B046FC" w:rsidP="00B046FC">
      <w:pPr>
        <w:spacing w:line="360" w:lineRule="auto"/>
        <w:rPr>
          <w:b/>
          <w:szCs w:val="22"/>
          <w:lang w:val="cs-CZ"/>
        </w:rPr>
      </w:pPr>
    </w:p>
    <w:p w14:paraId="02075063" w14:textId="77777777" w:rsidR="00B046FC" w:rsidRDefault="00B046FC" w:rsidP="00B046FC">
      <w:pPr>
        <w:spacing w:line="360" w:lineRule="auto"/>
        <w:rPr>
          <w:b/>
          <w:szCs w:val="22"/>
          <w:lang w:val="cs-CZ"/>
        </w:rPr>
      </w:pPr>
    </w:p>
    <w:p w14:paraId="7FC44E62" w14:textId="77777777" w:rsidR="00DF6859" w:rsidRDefault="00DF6859">
      <w:pPr>
        <w:autoSpaceDE/>
        <w:autoSpaceDN/>
        <w:adjustRightInd/>
        <w:jc w:val="left"/>
        <w:rPr>
          <w:b/>
          <w:szCs w:val="22"/>
          <w:lang w:val="cs-CZ"/>
        </w:rPr>
      </w:pPr>
      <w:r>
        <w:rPr>
          <w:b/>
          <w:szCs w:val="22"/>
          <w:lang w:val="cs-CZ"/>
        </w:rPr>
        <w:br w:type="page"/>
      </w:r>
    </w:p>
    <w:p w14:paraId="2755723B" w14:textId="66525644" w:rsidR="00B046FC" w:rsidRPr="00B046FC" w:rsidRDefault="00B046FC" w:rsidP="00B046FC">
      <w:pPr>
        <w:spacing w:line="360" w:lineRule="auto"/>
        <w:rPr>
          <w:b/>
          <w:szCs w:val="22"/>
          <w:lang w:val="cs-CZ"/>
        </w:rPr>
      </w:pPr>
      <w:r w:rsidRPr="00B046FC">
        <w:rPr>
          <w:b/>
          <w:szCs w:val="22"/>
          <w:lang w:val="cs-CZ"/>
        </w:rPr>
        <w:lastRenderedPageBreak/>
        <w:t xml:space="preserve">Jaké podmínky musím splňovat pro uzavření pojištění schopnosti splácet úvěr? </w:t>
      </w:r>
    </w:p>
    <w:p w14:paraId="140C1428" w14:textId="77777777" w:rsidR="00B046FC" w:rsidRPr="00B046FC" w:rsidRDefault="00B046FC" w:rsidP="00B046FC">
      <w:pPr>
        <w:spacing w:line="360" w:lineRule="auto"/>
        <w:rPr>
          <w:b/>
          <w:szCs w:val="22"/>
          <w:lang w:val="cs-CZ"/>
        </w:rPr>
      </w:pPr>
      <w:r w:rsidRPr="00B046FC">
        <w:rPr>
          <w:b/>
          <w:szCs w:val="22"/>
          <w:lang w:val="cs-CZ"/>
        </w:rPr>
        <w:t xml:space="preserve"> </w:t>
      </w:r>
    </w:p>
    <w:p w14:paraId="2E6E0A64" w14:textId="6729074C" w:rsidR="00B046FC" w:rsidRPr="00B046FC" w:rsidRDefault="00C10670" w:rsidP="00B046FC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U</w:t>
      </w:r>
      <w:r w:rsidR="00681427">
        <w:rPr>
          <w:szCs w:val="22"/>
          <w:lang w:val="cs-CZ"/>
        </w:rPr>
        <w:t>zavření pojištění schopnosti splácet úvěr</w:t>
      </w:r>
      <w:r>
        <w:rPr>
          <w:szCs w:val="22"/>
          <w:lang w:val="cs-CZ"/>
        </w:rPr>
        <w:t xml:space="preserve"> je velmi jednoduché.</w:t>
      </w:r>
      <w:r w:rsidR="00681427">
        <w:rPr>
          <w:szCs w:val="22"/>
          <w:lang w:val="cs-CZ"/>
        </w:rPr>
        <w:t xml:space="preserve"> </w:t>
      </w:r>
      <w:r>
        <w:rPr>
          <w:szCs w:val="22"/>
          <w:lang w:val="cs-CZ"/>
        </w:rPr>
        <w:t>S</w:t>
      </w:r>
      <w:r w:rsidR="00B046FC" w:rsidRPr="00B046FC">
        <w:rPr>
          <w:szCs w:val="22"/>
          <w:lang w:val="cs-CZ"/>
        </w:rPr>
        <w:t xml:space="preserve">tačí </w:t>
      </w:r>
      <w:r>
        <w:rPr>
          <w:szCs w:val="22"/>
          <w:lang w:val="cs-CZ"/>
        </w:rPr>
        <w:t xml:space="preserve">totiž </w:t>
      </w:r>
      <w:r w:rsidR="00B046FC" w:rsidRPr="00B046FC">
        <w:rPr>
          <w:szCs w:val="22"/>
          <w:lang w:val="cs-CZ"/>
        </w:rPr>
        <w:t xml:space="preserve">splnit </w:t>
      </w:r>
      <w:r w:rsidR="00681427">
        <w:rPr>
          <w:szCs w:val="22"/>
          <w:lang w:val="cs-CZ"/>
        </w:rPr>
        <w:t xml:space="preserve">několik </w:t>
      </w:r>
      <w:r w:rsidR="00B046FC" w:rsidRPr="00B046FC">
        <w:rPr>
          <w:szCs w:val="22"/>
          <w:lang w:val="cs-CZ"/>
        </w:rPr>
        <w:t>jednoduch</w:t>
      </w:r>
      <w:r w:rsidR="00681427">
        <w:rPr>
          <w:szCs w:val="22"/>
          <w:lang w:val="cs-CZ"/>
        </w:rPr>
        <w:t>ých</w:t>
      </w:r>
      <w:r w:rsidR="00B046FC" w:rsidRPr="00B046FC">
        <w:rPr>
          <w:szCs w:val="22"/>
          <w:lang w:val="cs-CZ"/>
        </w:rPr>
        <w:t xml:space="preserve"> vstupní</w:t>
      </w:r>
      <w:r w:rsidR="00681427">
        <w:rPr>
          <w:szCs w:val="22"/>
          <w:lang w:val="cs-CZ"/>
        </w:rPr>
        <w:t>ch</w:t>
      </w:r>
      <w:r w:rsidR="00B046FC" w:rsidRPr="00B046FC">
        <w:rPr>
          <w:szCs w:val="22"/>
          <w:lang w:val="cs-CZ"/>
        </w:rPr>
        <w:t xml:space="preserve"> podmín</w:t>
      </w:r>
      <w:r w:rsidR="00681427">
        <w:rPr>
          <w:szCs w:val="22"/>
          <w:lang w:val="cs-CZ"/>
        </w:rPr>
        <w:t>ek</w:t>
      </w:r>
      <w:r w:rsidR="00B046FC" w:rsidRPr="00B046FC">
        <w:rPr>
          <w:szCs w:val="22"/>
          <w:lang w:val="cs-CZ"/>
        </w:rPr>
        <w:t xml:space="preserve">.  </w:t>
      </w:r>
      <w:r w:rsidR="00681427">
        <w:rPr>
          <w:szCs w:val="22"/>
          <w:lang w:val="cs-CZ"/>
        </w:rPr>
        <w:t xml:space="preserve">Pojistník musí být </w:t>
      </w:r>
      <w:r w:rsidR="00A2311A">
        <w:rPr>
          <w:szCs w:val="22"/>
          <w:lang w:val="cs-CZ"/>
        </w:rPr>
        <w:t xml:space="preserve">pro většinu variant pojištění schopnosti splácet ve </w:t>
      </w:r>
      <w:r w:rsidR="00B046FC" w:rsidRPr="00B046FC">
        <w:rPr>
          <w:szCs w:val="22"/>
          <w:lang w:val="cs-CZ"/>
        </w:rPr>
        <w:t xml:space="preserve">věku od 18 do 65 let, </w:t>
      </w:r>
      <w:r w:rsidR="009235C5">
        <w:rPr>
          <w:szCs w:val="22"/>
          <w:lang w:val="cs-CZ"/>
        </w:rPr>
        <w:t>nesmí být</w:t>
      </w:r>
      <w:r w:rsidR="00B046FC" w:rsidRPr="00B046FC">
        <w:rPr>
          <w:szCs w:val="22"/>
          <w:lang w:val="cs-CZ"/>
        </w:rPr>
        <w:t xml:space="preserve"> v pracovní neschopnosti</w:t>
      </w:r>
      <w:r w:rsidR="009235C5">
        <w:rPr>
          <w:szCs w:val="22"/>
          <w:lang w:val="cs-CZ"/>
        </w:rPr>
        <w:t>,</w:t>
      </w:r>
      <w:r w:rsidR="00B046FC" w:rsidRPr="00B046FC">
        <w:rPr>
          <w:szCs w:val="22"/>
          <w:lang w:val="cs-CZ"/>
        </w:rPr>
        <w:t xml:space="preserve"> v invalidním důchodu nebo držitelem průkazu se zdravotním postižením</w:t>
      </w:r>
      <w:r w:rsidR="009235C5">
        <w:rPr>
          <w:szCs w:val="22"/>
          <w:lang w:val="cs-CZ"/>
        </w:rPr>
        <w:t>. Také je jeho povinností p</w:t>
      </w:r>
      <w:r w:rsidR="00B046FC" w:rsidRPr="00B046FC">
        <w:rPr>
          <w:szCs w:val="22"/>
          <w:lang w:val="cs-CZ"/>
        </w:rPr>
        <w:t xml:space="preserve">odepsat zdravotní prohlášení nebo </w:t>
      </w:r>
      <w:r w:rsidR="009235C5" w:rsidRPr="00B046FC">
        <w:rPr>
          <w:szCs w:val="22"/>
          <w:lang w:val="cs-CZ"/>
        </w:rPr>
        <w:t xml:space="preserve">v případě hypotéky </w:t>
      </w:r>
      <w:r w:rsidR="00B046FC" w:rsidRPr="00B046FC">
        <w:rPr>
          <w:szCs w:val="22"/>
          <w:lang w:val="cs-CZ"/>
        </w:rPr>
        <w:t xml:space="preserve">vyplnit </w:t>
      </w:r>
      <w:r w:rsidR="00914D07">
        <w:rPr>
          <w:szCs w:val="22"/>
          <w:lang w:val="cs-CZ"/>
        </w:rPr>
        <w:t>jednoduchý</w:t>
      </w:r>
      <w:r w:rsidR="007E58CB">
        <w:rPr>
          <w:szCs w:val="22"/>
          <w:lang w:val="cs-CZ"/>
        </w:rPr>
        <w:t xml:space="preserve"> </w:t>
      </w:r>
      <w:r w:rsidR="00B046FC" w:rsidRPr="00B046FC">
        <w:rPr>
          <w:szCs w:val="22"/>
          <w:lang w:val="cs-CZ"/>
        </w:rPr>
        <w:t>zdravotní dotazník.</w:t>
      </w:r>
    </w:p>
    <w:p w14:paraId="4E915939" w14:textId="77777777" w:rsidR="00B046FC" w:rsidRPr="00B046FC" w:rsidRDefault="00B046FC" w:rsidP="00B046FC">
      <w:pPr>
        <w:spacing w:line="360" w:lineRule="auto"/>
        <w:rPr>
          <w:b/>
          <w:szCs w:val="22"/>
          <w:lang w:val="cs-CZ"/>
        </w:rPr>
      </w:pPr>
      <w:r w:rsidRPr="00B046FC">
        <w:rPr>
          <w:b/>
          <w:szCs w:val="22"/>
          <w:lang w:val="cs-CZ"/>
        </w:rPr>
        <w:t xml:space="preserve"> </w:t>
      </w:r>
    </w:p>
    <w:p w14:paraId="3918B0B5" w14:textId="77777777" w:rsidR="00B046FC" w:rsidRPr="00B046FC" w:rsidRDefault="00B046FC" w:rsidP="00B046FC">
      <w:pPr>
        <w:spacing w:line="360" w:lineRule="auto"/>
        <w:rPr>
          <w:b/>
          <w:szCs w:val="22"/>
          <w:lang w:val="cs-CZ"/>
        </w:rPr>
      </w:pPr>
      <w:r w:rsidRPr="00B046FC">
        <w:rPr>
          <w:b/>
          <w:szCs w:val="22"/>
          <w:lang w:val="cs-CZ"/>
        </w:rPr>
        <w:t xml:space="preserve"> </w:t>
      </w:r>
    </w:p>
    <w:p w14:paraId="033FD0CC" w14:textId="77777777" w:rsidR="00B046FC" w:rsidRPr="00B046FC" w:rsidRDefault="00B046FC" w:rsidP="00B046FC">
      <w:pPr>
        <w:spacing w:line="360" w:lineRule="auto"/>
        <w:rPr>
          <w:b/>
          <w:szCs w:val="22"/>
          <w:lang w:val="cs-CZ"/>
        </w:rPr>
      </w:pPr>
      <w:r w:rsidRPr="00B046FC">
        <w:rPr>
          <w:b/>
          <w:szCs w:val="22"/>
          <w:lang w:val="cs-CZ"/>
        </w:rPr>
        <w:t xml:space="preserve">Splácím hypotéku a mám již starší rodiče. Je možné si pojistit schopnost splácet úvěr pro případ, že se o ně budu muset starat a ztratím tak svůj příjem nutný pro splácení hypotéky? </w:t>
      </w:r>
    </w:p>
    <w:p w14:paraId="4239C8B3" w14:textId="77777777" w:rsidR="00681427" w:rsidRDefault="00681427" w:rsidP="00B046FC">
      <w:pPr>
        <w:spacing w:line="360" w:lineRule="auto"/>
        <w:rPr>
          <w:b/>
          <w:szCs w:val="22"/>
          <w:lang w:val="cs-CZ"/>
        </w:rPr>
      </w:pPr>
    </w:p>
    <w:p w14:paraId="3DD54369" w14:textId="30ACE9DA" w:rsidR="00B046FC" w:rsidRPr="00681427" w:rsidRDefault="00681427" w:rsidP="00B046FC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>Ano, je to tak. P</w:t>
      </w:r>
      <w:r w:rsidR="00B046FC" w:rsidRPr="00681427">
        <w:rPr>
          <w:szCs w:val="22"/>
          <w:lang w:val="cs-CZ"/>
        </w:rPr>
        <w:t xml:space="preserve">ojištění schopnosti splácet úvěr </w:t>
      </w:r>
      <w:r w:rsidR="00090E85">
        <w:rPr>
          <w:szCs w:val="22"/>
          <w:lang w:val="cs-CZ"/>
        </w:rPr>
        <w:t>může krýt</w:t>
      </w:r>
      <w:r w:rsidR="00090E85" w:rsidRPr="00681427">
        <w:rPr>
          <w:szCs w:val="22"/>
          <w:lang w:val="cs-CZ"/>
        </w:rPr>
        <w:t xml:space="preserve"> </w:t>
      </w:r>
      <w:r w:rsidR="00B046FC" w:rsidRPr="00681427">
        <w:rPr>
          <w:szCs w:val="22"/>
          <w:lang w:val="cs-CZ"/>
        </w:rPr>
        <w:t xml:space="preserve">i výpadek příjmu z důvodu ošetřování člena rodiny. Pojistné krytí tak pomáhá pojištěným překonat výpadek v rodinném rozpočtu v době, kdy se musí starat o blízkého člena rodiny, který je nemocný nebo utrpěl úraz a je závislý na jejich péči. Po dobu výpadku příjmu </w:t>
      </w:r>
      <w:r w:rsidR="00914D07">
        <w:rPr>
          <w:szCs w:val="22"/>
          <w:lang w:val="cs-CZ"/>
        </w:rPr>
        <w:t xml:space="preserve">v domácnosti </w:t>
      </w:r>
      <w:r w:rsidR="00B046FC" w:rsidRPr="00681427">
        <w:rPr>
          <w:szCs w:val="22"/>
          <w:lang w:val="cs-CZ"/>
        </w:rPr>
        <w:t xml:space="preserve">platí pojišťovna za pojištěného splátku jeho úvěru až po dobu 12 měsíců, dále </w:t>
      </w:r>
      <w:r w:rsidR="008B47FE">
        <w:rPr>
          <w:szCs w:val="22"/>
          <w:lang w:val="cs-CZ"/>
        </w:rPr>
        <w:t xml:space="preserve">se </w:t>
      </w:r>
      <w:r w:rsidR="00B046FC" w:rsidRPr="00681427">
        <w:rPr>
          <w:szCs w:val="22"/>
          <w:lang w:val="cs-CZ"/>
        </w:rPr>
        <w:t xml:space="preserve">pojištění vztahuje nejen na děti, ale i na ostatní členy rodiny a vztahuje </w:t>
      </w:r>
      <w:r w:rsidR="008B47FE">
        <w:rPr>
          <w:szCs w:val="22"/>
          <w:lang w:val="cs-CZ"/>
        </w:rPr>
        <w:t xml:space="preserve">se </w:t>
      </w:r>
      <w:r w:rsidR="00B046FC" w:rsidRPr="00681427">
        <w:rPr>
          <w:szCs w:val="22"/>
          <w:lang w:val="cs-CZ"/>
        </w:rPr>
        <w:t>i na případy, kdy pečuje nejen samotný pojištěný, ale i jeho partner či partnerka. Pojistné plnění je pak vypláceno</w:t>
      </w:r>
      <w:r w:rsidR="007E58CB">
        <w:rPr>
          <w:szCs w:val="22"/>
          <w:lang w:val="cs-CZ"/>
        </w:rPr>
        <w:t xml:space="preserve"> od počátku pojistné události</w:t>
      </w:r>
      <w:r w:rsidR="00914D07">
        <w:rPr>
          <w:szCs w:val="22"/>
          <w:lang w:val="cs-CZ"/>
        </w:rPr>
        <w:t xml:space="preserve"> (ošetřování)</w:t>
      </w:r>
      <w:r w:rsidR="00B046FC" w:rsidRPr="00681427">
        <w:rPr>
          <w:szCs w:val="22"/>
          <w:lang w:val="cs-CZ"/>
        </w:rPr>
        <w:t>, pokud doba ošetřování trvá alespoň 30 dní.</w:t>
      </w:r>
    </w:p>
    <w:p w14:paraId="3987EF75" w14:textId="77777777" w:rsidR="00DF46B9" w:rsidRDefault="00DF46B9" w:rsidP="00FF76C5">
      <w:pPr>
        <w:spacing w:line="360" w:lineRule="auto"/>
        <w:rPr>
          <w:szCs w:val="22"/>
          <w:lang w:val="cs-CZ"/>
        </w:rPr>
      </w:pPr>
    </w:p>
    <w:bookmarkEnd w:id="0"/>
    <w:p w14:paraId="2EFA2CF4" w14:textId="77777777" w:rsidR="000F7152" w:rsidRPr="001E326A" w:rsidRDefault="000F7152" w:rsidP="00FF76C5">
      <w:pPr>
        <w:spacing w:line="360" w:lineRule="auto"/>
        <w:rPr>
          <w:szCs w:val="22"/>
          <w:lang w:val="cs-CZ"/>
        </w:rPr>
      </w:pPr>
    </w:p>
    <w:sectPr w:rsidR="000F7152" w:rsidRPr="001E326A" w:rsidSect="00176937">
      <w:headerReference w:type="first" r:id="rId8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54687" w14:textId="77777777" w:rsidR="001E1CA5" w:rsidRDefault="001E1CA5" w:rsidP="009D3A5D">
      <w:r>
        <w:separator/>
      </w:r>
    </w:p>
  </w:endnote>
  <w:endnote w:type="continuationSeparator" w:id="0">
    <w:p w14:paraId="529A652C" w14:textId="77777777" w:rsidR="001E1CA5" w:rsidRDefault="001E1CA5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28BCB" w14:textId="77777777" w:rsidR="001E1CA5" w:rsidRDefault="001E1CA5" w:rsidP="009D3A5D">
      <w:r>
        <w:separator/>
      </w:r>
    </w:p>
  </w:footnote>
  <w:footnote w:type="continuationSeparator" w:id="0">
    <w:p w14:paraId="04E7BC3B" w14:textId="77777777" w:rsidR="001E1CA5" w:rsidRDefault="001E1CA5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F4CB6" w14:textId="7F94D2DD" w:rsidR="009D3A5D" w:rsidRPr="009D3A5D" w:rsidRDefault="00DF6859" w:rsidP="009D3A5D">
    <w:pPr>
      <w:pStyle w:val="Zhlav"/>
      <w:jc w:val="right"/>
    </w:pPr>
    <w:r>
      <w:rPr>
        <w:noProof/>
        <w:lang w:val="cs-CZ" w:eastAsia="ja-JP"/>
      </w:rPr>
      <w:drawing>
        <wp:inline distT="0" distB="0" distL="0" distR="0" wp14:anchorId="0B6A6F3C" wp14:editId="0D3A0985">
          <wp:extent cx="1209675" cy="1209675"/>
          <wp:effectExtent l="0" t="0" r="0" b="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62F"/>
    <w:rsid w:val="00003AB0"/>
    <w:rsid w:val="00004506"/>
    <w:rsid w:val="00050CAE"/>
    <w:rsid w:val="00053A4F"/>
    <w:rsid w:val="00057FA9"/>
    <w:rsid w:val="00065B04"/>
    <w:rsid w:val="00067857"/>
    <w:rsid w:val="00090E85"/>
    <w:rsid w:val="000A2F4B"/>
    <w:rsid w:val="000B1E6C"/>
    <w:rsid w:val="000F6607"/>
    <w:rsid w:val="000F7152"/>
    <w:rsid w:val="00131F6F"/>
    <w:rsid w:val="00134DC3"/>
    <w:rsid w:val="00134FEE"/>
    <w:rsid w:val="00136A19"/>
    <w:rsid w:val="001467CF"/>
    <w:rsid w:val="001569F4"/>
    <w:rsid w:val="00160323"/>
    <w:rsid w:val="001613AE"/>
    <w:rsid w:val="00163D53"/>
    <w:rsid w:val="00165946"/>
    <w:rsid w:val="00176937"/>
    <w:rsid w:val="00181D9F"/>
    <w:rsid w:val="00184C19"/>
    <w:rsid w:val="001A1C5D"/>
    <w:rsid w:val="001B3CA0"/>
    <w:rsid w:val="001B7804"/>
    <w:rsid w:val="001B7EDE"/>
    <w:rsid w:val="001C18C2"/>
    <w:rsid w:val="001C794B"/>
    <w:rsid w:val="001E1CA5"/>
    <w:rsid w:val="001E326A"/>
    <w:rsid w:val="001E74E0"/>
    <w:rsid w:val="001F2FF3"/>
    <w:rsid w:val="00206761"/>
    <w:rsid w:val="002537D6"/>
    <w:rsid w:val="00254656"/>
    <w:rsid w:val="00265491"/>
    <w:rsid w:val="0027296B"/>
    <w:rsid w:val="00272C44"/>
    <w:rsid w:val="0028029B"/>
    <w:rsid w:val="002A2CFB"/>
    <w:rsid w:val="002A2D94"/>
    <w:rsid w:val="002D0424"/>
    <w:rsid w:val="002D5DB2"/>
    <w:rsid w:val="002F4811"/>
    <w:rsid w:val="0030417A"/>
    <w:rsid w:val="00307D57"/>
    <w:rsid w:val="003129DC"/>
    <w:rsid w:val="003173A4"/>
    <w:rsid w:val="00342FEE"/>
    <w:rsid w:val="003541B4"/>
    <w:rsid w:val="0036466B"/>
    <w:rsid w:val="00370F33"/>
    <w:rsid w:val="00373FC2"/>
    <w:rsid w:val="00376F2F"/>
    <w:rsid w:val="003940DE"/>
    <w:rsid w:val="003A59F5"/>
    <w:rsid w:val="003F6D05"/>
    <w:rsid w:val="00402D6B"/>
    <w:rsid w:val="0043737C"/>
    <w:rsid w:val="00474D3D"/>
    <w:rsid w:val="00487953"/>
    <w:rsid w:val="00487DE9"/>
    <w:rsid w:val="0049539E"/>
    <w:rsid w:val="004959E4"/>
    <w:rsid w:val="004B03F9"/>
    <w:rsid w:val="004C090F"/>
    <w:rsid w:val="004C4345"/>
    <w:rsid w:val="004C52DE"/>
    <w:rsid w:val="004D4736"/>
    <w:rsid w:val="004F474F"/>
    <w:rsid w:val="005071B0"/>
    <w:rsid w:val="00541B42"/>
    <w:rsid w:val="00542C79"/>
    <w:rsid w:val="00545105"/>
    <w:rsid w:val="00552B6F"/>
    <w:rsid w:val="0056496F"/>
    <w:rsid w:val="00570CF3"/>
    <w:rsid w:val="0057271C"/>
    <w:rsid w:val="0057373E"/>
    <w:rsid w:val="005764EF"/>
    <w:rsid w:val="005924E0"/>
    <w:rsid w:val="00595ECE"/>
    <w:rsid w:val="005A2DCF"/>
    <w:rsid w:val="005C0B24"/>
    <w:rsid w:val="005C1C0D"/>
    <w:rsid w:val="005D1EFF"/>
    <w:rsid w:val="005F3487"/>
    <w:rsid w:val="006111D3"/>
    <w:rsid w:val="0063362F"/>
    <w:rsid w:val="00633AD3"/>
    <w:rsid w:val="006670BA"/>
    <w:rsid w:val="00680996"/>
    <w:rsid w:val="00681427"/>
    <w:rsid w:val="00685B0C"/>
    <w:rsid w:val="006A1B90"/>
    <w:rsid w:val="006B0F23"/>
    <w:rsid w:val="006B1AF6"/>
    <w:rsid w:val="006D0AB3"/>
    <w:rsid w:val="006D302E"/>
    <w:rsid w:val="006D36DE"/>
    <w:rsid w:val="006E6FF4"/>
    <w:rsid w:val="00723F2F"/>
    <w:rsid w:val="00731726"/>
    <w:rsid w:val="00743149"/>
    <w:rsid w:val="0075490B"/>
    <w:rsid w:val="007B5183"/>
    <w:rsid w:val="007B6D56"/>
    <w:rsid w:val="007D145E"/>
    <w:rsid w:val="007E58CB"/>
    <w:rsid w:val="007F0CD7"/>
    <w:rsid w:val="007F2F44"/>
    <w:rsid w:val="00803DEE"/>
    <w:rsid w:val="008216F5"/>
    <w:rsid w:val="00821700"/>
    <w:rsid w:val="00826EBB"/>
    <w:rsid w:val="00833BB0"/>
    <w:rsid w:val="00837122"/>
    <w:rsid w:val="0086385B"/>
    <w:rsid w:val="00896A8C"/>
    <w:rsid w:val="0089712D"/>
    <w:rsid w:val="008A53A4"/>
    <w:rsid w:val="008B47FE"/>
    <w:rsid w:val="008B6879"/>
    <w:rsid w:val="009076C4"/>
    <w:rsid w:val="00914D07"/>
    <w:rsid w:val="009235C5"/>
    <w:rsid w:val="00930E2B"/>
    <w:rsid w:val="00935A40"/>
    <w:rsid w:val="0095012E"/>
    <w:rsid w:val="009526A5"/>
    <w:rsid w:val="009617EE"/>
    <w:rsid w:val="009642F3"/>
    <w:rsid w:val="009678C7"/>
    <w:rsid w:val="0097040F"/>
    <w:rsid w:val="0097092C"/>
    <w:rsid w:val="009713E2"/>
    <w:rsid w:val="00977A07"/>
    <w:rsid w:val="009959C9"/>
    <w:rsid w:val="009A2FF2"/>
    <w:rsid w:val="009B24AB"/>
    <w:rsid w:val="009B7C3D"/>
    <w:rsid w:val="009C3F36"/>
    <w:rsid w:val="009C5CFD"/>
    <w:rsid w:val="009D3A5D"/>
    <w:rsid w:val="00A14EAC"/>
    <w:rsid w:val="00A2182A"/>
    <w:rsid w:val="00A2311A"/>
    <w:rsid w:val="00A26E46"/>
    <w:rsid w:val="00A5642F"/>
    <w:rsid w:val="00A639F9"/>
    <w:rsid w:val="00A6533D"/>
    <w:rsid w:val="00A92343"/>
    <w:rsid w:val="00A96573"/>
    <w:rsid w:val="00A9718A"/>
    <w:rsid w:val="00AC6BDE"/>
    <w:rsid w:val="00AC772C"/>
    <w:rsid w:val="00AD1E5B"/>
    <w:rsid w:val="00AD2211"/>
    <w:rsid w:val="00AE7FA6"/>
    <w:rsid w:val="00AF0832"/>
    <w:rsid w:val="00AF6EEA"/>
    <w:rsid w:val="00B046FC"/>
    <w:rsid w:val="00B056BF"/>
    <w:rsid w:val="00B11BB9"/>
    <w:rsid w:val="00B15EE3"/>
    <w:rsid w:val="00B23411"/>
    <w:rsid w:val="00B307AE"/>
    <w:rsid w:val="00B554F2"/>
    <w:rsid w:val="00B572FE"/>
    <w:rsid w:val="00B65919"/>
    <w:rsid w:val="00B719E8"/>
    <w:rsid w:val="00B7715C"/>
    <w:rsid w:val="00B81D20"/>
    <w:rsid w:val="00B83FD5"/>
    <w:rsid w:val="00BA77D2"/>
    <w:rsid w:val="00BB317F"/>
    <w:rsid w:val="00BB78AD"/>
    <w:rsid w:val="00BE08E0"/>
    <w:rsid w:val="00BE0CBB"/>
    <w:rsid w:val="00BF3A43"/>
    <w:rsid w:val="00C0150D"/>
    <w:rsid w:val="00C10670"/>
    <w:rsid w:val="00C124B7"/>
    <w:rsid w:val="00C17033"/>
    <w:rsid w:val="00C43228"/>
    <w:rsid w:val="00C46994"/>
    <w:rsid w:val="00C46CB6"/>
    <w:rsid w:val="00C551AF"/>
    <w:rsid w:val="00C5618F"/>
    <w:rsid w:val="00C65EEF"/>
    <w:rsid w:val="00C71D7E"/>
    <w:rsid w:val="00CB177C"/>
    <w:rsid w:val="00D02382"/>
    <w:rsid w:val="00D0560B"/>
    <w:rsid w:val="00D070D1"/>
    <w:rsid w:val="00D15185"/>
    <w:rsid w:val="00D20ACC"/>
    <w:rsid w:val="00D32547"/>
    <w:rsid w:val="00D47A8C"/>
    <w:rsid w:val="00D5398C"/>
    <w:rsid w:val="00D631B2"/>
    <w:rsid w:val="00D8408B"/>
    <w:rsid w:val="00DB4B99"/>
    <w:rsid w:val="00DC73EF"/>
    <w:rsid w:val="00DF46B9"/>
    <w:rsid w:val="00DF6859"/>
    <w:rsid w:val="00DF7840"/>
    <w:rsid w:val="00E26655"/>
    <w:rsid w:val="00E4100F"/>
    <w:rsid w:val="00E43C9C"/>
    <w:rsid w:val="00E46BA2"/>
    <w:rsid w:val="00E51AD2"/>
    <w:rsid w:val="00E5444C"/>
    <w:rsid w:val="00E56420"/>
    <w:rsid w:val="00E72085"/>
    <w:rsid w:val="00E923F3"/>
    <w:rsid w:val="00EB6072"/>
    <w:rsid w:val="00EC1976"/>
    <w:rsid w:val="00EC4A79"/>
    <w:rsid w:val="00EE68B5"/>
    <w:rsid w:val="00EF66F2"/>
    <w:rsid w:val="00F10F3C"/>
    <w:rsid w:val="00F207BA"/>
    <w:rsid w:val="00F21EB4"/>
    <w:rsid w:val="00F22243"/>
    <w:rsid w:val="00F328AC"/>
    <w:rsid w:val="00F709D1"/>
    <w:rsid w:val="00F912CD"/>
    <w:rsid w:val="00F918B1"/>
    <w:rsid w:val="00FA0B77"/>
    <w:rsid w:val="00FA7883"/>
    <w:rsid w:val="00FD1394"/>
    <w:rsid w:val="00FD5389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D6603"/>
  <w15:docId w15:val="{D353578B-62A3-4B0D-B05A-7C3653C2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mbria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1E74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74E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1E74E0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74E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E74E0"/>
    <w:rPr>
      <w:rFonts w:ascii="Arial" w:hAnsi="Arial" w:cs="Arial"/>
      <w:b/>
      <w:bCs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59802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3728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1BA9B-A005-44DA-8F4D-CD9B5F67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Sberbank CZ, a.s.</Company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2</cp:revision>
  <cp:lastPrinted>2016-05-05T15:52:00Z</cp:lastPrinted>
  <dcterms:created xsi:type="dcterms:W3CDTF">2019-06-03T11:39:00Z</dcterms:created>
  <dcterms:modified xsi:type="dcterms:W3CDTF">2019-06-03T11:39:00Z</dcterms:modified>
</cp:coreProperties>
</file>