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2C6A" w14:textId="77777777" w:rsidR="001834FA" w:rsidRPr="0032540F" w:rsidRDefault="001834FA" w:rsidP="00842982">
      <w:pPr>
        <w:pStyle w:val="Zkladntext"/>
        <w:spacing w:after="192" w:line="276" w:lineRule="auto"/>
        <w:jc w:val="left"/>
        <w:rPr>
          <w:sz w:val="28"/>
          <w:szCs w:val="28"/>
          <w:lang w:val="cs-CZ"/>
        </w:rPr>
      </w:pPr>
    </w:p>
    <w:p w14:paraId="375FC04A" w14:textId="1F38F825" w:rsidR="001834FA" w:rsidRPr="0032540F" w:rsidRDefault="001834FA" w:rsidP="00842982">
      <w:pPr>
        <w:pStyle w:val="Zkladntext"/>
        <w:spacing w:after="192" w:line="276" w:lineRule="auto"/>
        <w:jc w:val="left"/>
        <w:rPr>
          <w:sz w:val="28"/>
          <w:szCs w:val="28"/>
          <w:lang w:val="cs-CZ"/>
        </w:rPr>
      </w:pPr>
      <w:r w:rsidRPr="0032540F">
        <w:rPr>
          <w:sz w:val="28"/>
          <w:szCs w:val="28"/>
          <w:lang w:val="cs-CZ"/>
        </w:rPr>
        <w:t xml:space="preserve">TISKOVÁ </w:t>
      </w:r>
      <w:r w:rsidR="00A214A7" w:rsidRPr="0032540F">
        <w:rPr>
          <w:sz w:val="28"/>
          <w:szCs w:val="28"/>
          <w:lang w:val="cs-CZ"/>
        </w:rPr>
        <w:t>ZPRÁVA</w:t>
      </w:r>
      <w:r w:rsidR="00A214A7" w:rsidRPr="0032540F">
        <w:rPr>
          <w:sz w:val="28"/>
          <w:szCs w:val="28"/>
          <w:lang w:val="cs-CZ"/>
        </w:rPr>
        <w:tab/>
      </w:r>
      <w:r w:rsidRPr="0032540F">
        <w:rPr>
          <w:sz w:val="28"/>
          <w:szCs w:val="28"/>
          <w:lang w:val="cs-CZ"/>
        </w:rPr>
        <w:tab/>
      </w:r>
      <w:r w:rsidRPr="0032540F">
        <w:rPr>
          <w:sz w:val="28"/>
          <w:szCs w:val="28"/>
          <w:lang w:val="cs-CZ"/>
        </w:rPr>
        <w:tab/>
      </w:r>
      <w:r w:rsidRPr="0032540F">
        <w:rPr>
          <w:sz w:val="28"/>
          <w:szCs w:val="28"/>
          <w:lang w:val="cs-CZ"/>
        </w:rPr>
        <w:tab/>
      </w:r>
      <w:r w:rsidRPr="0032540F">
        <w:rPr>
          <w:sz w:val="28"/>
          <w:szCs w:val="28"/>
          <w:lang w:val="cs-CZ"/>
        </w:rPr>
        <w:tab/>
      </w:r>
      <w:r w:rsidRPr="0032540F">
        <w:rPr>
          <w:sz w:val="28"/>
          <w:szCs w:val="28"/>
          <w:lang w:val="cs-CZ"/>
        </w:rPr>
        <w:tab/>
      </w:r>
      <w:r w:rsidRPr="0032540F">
        <w:rPr>
          <w:sz w:val="28"/>
          <w:szCs w:val="28"/>
          <w:lang w:val="cs-CZ"/>
        </w:rPr>
        <w:tab/>
      </w:r>
      <w:r w:rsidR="00534609">
        <w:rPr>
          <w:sz w:val="28"/>
          <w:szCs w:val="28"/>
          <w:lang w:val="cs-CZ"/>
        </w:rPr>
        <w:t>1</w:t>
      </w:r>
      <w:r w:rsidR="008210C1">
        <w:rPr>
          <w:sz w:val="28"/>
          <w:szCs w:val="28"/>
          <w:lang w:val="cs-CZ"/>
        </w:rPr>
        <w:t>8</w:t>
      </w:r>
      <w:r w:rsidRPr="0032540F">
        <w:rPr>
          <w:sz w:val="28"/>
          <w:szCs w:val="28"/>
          <w:lang w:val="cs-CZ"/>
        </w:rPr>
        <w:t xml:space="preserve">. </w:t>
      </w:r>
      <w:r w:rsidR="00A214A7" w:rsidRPr="0032540F">
        <w:rPr>
          <w:sz w:val="28"/>
          <w:szCs w:val="28"/>
          <w:lang w:val="cs-CZ"/>
        </w:rPr>
        <w:t>6</w:t>
      </w:r>
      <w:r w:rsidRPr="0032540F">
        <w:rPr>
          <w:sz w:val="28"/>
          <w:szCs w:val="28"/>
          <w:lang w:val="cs-CZ"/>
        </w:rPr>
        <w:t>. 2019</w:t>
      </w:r>
    </w:p>
    <w:p w14:paraId="6F60B24B" w14:textId="77777777" w:rsidR="00C510F1" w:rsidRPr="0032540F" w:rsidRDefault="00C510F1" w:rsidP="00842982">
      <w:pPr>
        <w:spacing w:before="120" w:line="276" w:lineRule="auto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6BA4D829" w14:textId="69FC1A78" w:rsidR="00534609" w:rsidRPr="00534609" w:rsidRDefault="00534609" w:rsidP="00842982">
      <w:pPr>
        <w:spacing w:before="120" w:line="276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  <w:r>
        <w:rPr>
          <w:rFonts w:ascii="Arial" w:hAnsi="Arial" w:cs="Arial"/>
          <w:b/>
          <w:bCs/>
          <w:sz w:val="32"/>
          <w:szCs w:val="32"/>
          <w:lang w:val="cs-CZ"/>
        </w:rPr>
        <w:t>V</w:t>
      </w:r>
      <w:r w:rsidRPr="00534609">
        <w:rPr>
          <w:rFonts w:ascii="Arial" w:hAnsi="Arial" w:cs="Arial"/>
          <w:b/>
          <w:bCs/>
          <w:sz w:val="32"/>
          <w:szCs w:val="32"/>
          <w:lang w:val="cs-CZ"/>
        </w:rPr>
        <w:t xml:space="preserve"> roce 2018 globální fintech investice významně vzrostly. Na vrcholu žebříčku je Čína</w:t>
      </w:r>
      <w:r>
        <w:rPr>
          <w:rFonts w:ascii="Arial" w:hAnsi="Arial" w:cs="Arial"/>
          <w:b/>
          <w:bCs/>
          <w:sz w:val="32"/>
          <w:szCs w:val="32"/>
          <w:lang w:val="cs-CZ"/>
        </w:rPr>
        <w:t xml:space="preserve">, </w:t>
      </w:r>
      <w:r w:rsidR="009F7B8D">
        <w:rPr>
          <w:rFonts w:ascii="Arial" w:hAnsi="Arial" w:cs="Arial"/>
          <w:b/>
          <w:bCs/>
          <w:sz w:val="32"/>
          <w:szCs w:val="32"/>
          <w:lang w:val="cs-CZ"/>
        </w:rPr>
        <w:t>kontinentální Evropa zaostává</w:t>
      </w:r>
    </w:p>
    <w:p w14:paraId="2E0592E8" w14:textId="77777777" w:rsidR="00534609" w:rsidRPr="00235165" w:rsidRDefault="00534609" w:rsidP="00842982">
      <w:pPr>
        <w:spacing w:before="120" w:line="276" w:lineRule="auto"/>
        <w:jc w:val="center"/>
        <w:rPr>
          <w:rFonts w:ascii="Arial" w:hAnsi="Arial" w:cs="Arial"/>
          <w:i/>
          <w:sz w:val="22"/>
          <w:szCs w:val="22"/>
          <w:lang w:val="cs-CZ"/>
        </w:rPr>
      </w:pPr>
      <w:r w:rsidRPr="00235165">
        <w:rPr>
          <w:rFonts w:ascii="Arial" w:hAnsi="Arial" w:cs="Arial"/>
          <w:i/>
          <w:sz w:val="22"/>
          <w:szCs w:val="22"/>
          <w:lang w:val="cs-CZ"/>
        </w:rPr>
        <w:t xml:space="preserve">Celková hodnota </w:t>
      </w:r>
      <w:r w:rsidR="00235165">
        <w:rPr>
          <w:rFonts w:ascii="Arial" w:hAnsi="Arial" w:cs="Arial"/>
          <w:i/>
          <w:sz w:val="22"/>
          <w:szCs w:val="22"/>
          <w:lang w:val="cs-CZ"/>
        </w:rPr>
        <w:t>globálních fintech investic</w:t>
      </w:r>
      <w:r w:rsidRPr="00235165">
        <w:rPr>
          <w:rFonts w:ascii="Arial" w:hAnsi="Arial" w:cs="Arial"/>
          <w:i/>
          <w:sz w:val="22"/>
          <w:szCs w:val="22"/>
          <w:lang w:val="cs-CZ"/>
        </w:rPr>
        <w:t xml:space="preserve"> se více než zdvojnásobila, přičemž jejich počet se zvýšil téměř o 20 %.  Například v USA vzrostla hodnota obchodů o 46 % a ve Velké Británii téměř o 56 %; Kanada, Austrálie, Japonsko a Brazílie také zažívají rekordní vzestup v této oblasti</w:t>
      </w:r>
    </w:p>
    <w:p w14:paraId="26E1AB6B" w14:textId="77777777" w:rsidR="00534609" w:rsidRPr="00534609" w:rsidRDefault="00534609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34609">
        <w:rPr>
          <w:rFonts w:ascii="Arial" w:hAnsi="Arial" w:cs="Arial"/>
          <w:sz w:val="22"/>
          <w:szCs w:val="22"/>
          <w:lang w:val="cs-CZ"/>
        </w:rPr>
        <w:t xml:space="preserve">Globální investice do podniků zabývajících se inovacemi ve finančních technologiích (fintech) se v roce 2018 více než zdvojnásobily, a to na 55,3 mld. USD, přičemž největší nárůst investic proběhl v Číně a velký růst byl k vidění i na několika dalších trzích, kde investoři více sázeli na vyzrálejší startupy, jak zjistila analýza společnosti Accenture, která </w:t>
      </w:r>
      <w:r w:rsidR="000D7E13">
        <w:rPr>
          <w:rFonts w:ascii="Arial" w:hAnsi="Arial" w:cs="Arial"/>
          <w:sz w:val="22"/>
          <w:szCs w:val="22"/>
          <w:lang w:val="cs-CZ"/>
        </w:rPr>
        <w:t xml:space="preserve">vyhodnocovala </w:t>
      </w:r>
      <w:r w:rsidRPr="00534609">
        <w:rPr>
          <w:rFonts w:ascii="Arial" w:hAnsi="Arial" w:cs="Arial"/>
          <w:sz w:val="22"/>
          <w:szCs w:val="22"/>
          <w:lang w:val="cs-CZ"/>
        </w:rPr>
        <w:t>data společnosti globální finanční a analytick</w:t>
      </w:r>
      <w:r>
        <w:rPr>
          <w:rFonts w:ascii="Arial" w:hAnsi="Arial" w:cs="Arial"/>
          <w:sz w:val="22"/>
          <w:szCs w:val="22"/>
          <w:lang w:val="cs-CZ"/>
        </w:rPr>
        <w:t>é</w:t>
      </w:r>
      <w:r w:rsidRPr="00534609">
        <w:rPr>
          <w:rFonts w:ascii="Arial" w:hAnsi="Arial" w:cs="Arial"/>
          <w:sz w:val="22"/>
          <w:szCs w:val="22"/>
          <w:lang w:val="cs-CZ"/>
        </w:rPr>
        <w:t xml:space="preserve"> firm</w:t>
      </w:r>
      <w:r>
        <w:rPr>
          <w:rFonts w:ascii="Arial" w:hAnsi="Arial" w:cs="Arial"/>
          <w:sz w:val="22"/>
          <w:szCs w:val="22"/>
          <w:lang w:val="cs-CZ"/>
        </w:rPr>
        <w:t>y</w:t>
      </w:r>
      <w:r w:rsidRPr="00534609">
        <w:rPr>
          <w:rFonts w:ascii="Arial" w:hAnsi="Arial" w:cs="Arial"/>
          <w:sz w:val="22"/>
          <w:szCs w:val="22"/>
          <w:lang w:val="cs-CZ"/>
        </w:rPr>
        <w:t xml:space="preserve"> CB Insights. </w:t>
      </w:r>
    </w:p>
    <w:p w14:paraId="3A79F93E" w14:textId="77777777" w:rsidR="00534609" w:rsidRPr="00534609" w:rsidRDefault="00534609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r w:rsidRPr="00534609">
        <w:rPr>
          <w:rFonts w:ascii="Arial" w:hAnsi="Arial" w:cs="Arial"/>
          <w:sz w:val="22"/>
          <w:szCs w:val="22"/>
          <w:lang w:val="cs-CZ"/>
        </w:rPr>
        <w:t>Obrovský růst investic byl z velké části důsledkem devítinásobného nárůstu hodnoty obchodů v Číně, který činil 25,5 miliardy USD – což je téměř tolik, kolik činily celosvětové fintech investice v roce 2017</w:t>
      </w:r>
      <w:r w:rsidR="000D7E13">
        <w:rPr>
          <w:rFonts w:ascii="Arial" w:hAnsi="Arial" w:cs="Arial"/>
          <w:sz w:val="22"/>
          <w:szCs w:val="22"/>
          <w:lang w:val="cs-CZ"/>
        </w:rPr>
        <w:t xml:space="preserve"> (</w:t>
      </w:r>
      <w:r w:rsidRPr="00534609">
        <w:rPr>
          <w:rFonts w:ascii="Arial" w:hAnsi="Arial" w:cs="Arial"/>
          <w:sz w:val="22"/>
          <w:szCs w:val="22"/>
          <w:lang w:val="cs-CZ"/>
        </w:rPr>
        <w:t>26,7 miliard USD</w:t>
      </w:r>
      <w:r w:rsidR="000D7E13">
        <w:rPr>
          <w:rFonts w:ascii="Arial" w:hAnsi="Arial" w:cs="Arial"/>
          <w:sz w:val="22"/>
          <w:szCs w:val="22"/>
          <w:lang w:val="cs-CZ"/>
        </w:rPr>
        <w:t>)</w:t>
      </w:r>
      <w:r w:rsidRPr="00534609">
        <w:rPr>
          <w:rFonts w:ascii="Arial" w:hAnsi="Arial" w:cs="Arial"/>
          <w:sz w:val="22"/>
          <w:szCs w:val="22"/>
          <w:lang w:val="cs-CZ"/>
        </w:rPr>
        <w:t>. Čína představovala 46 % všech investic do oblasti fintech v roce 2018. Více než polovina čínských fintech investic pocházela z rekordních investic do Ant Financial, které činily</w:t>
      </w:r>
      <w:r w:rsidR="000D7E13">
        <w:rPr>
          <w:rFonts w:ascii="Arial" w:hAnsi="Arial" w:cs="Arial"/>
          <w:sz w:val="22"/>
          <w:szCs w:val="22"/>
          <w:lang w:val="cs-CZ"/>
        </w:rPr>
        <w:t xml:space="preserve"> </w:t>
      </w:r>
      <w:r w:rsidRPr="00534609">
        <w:rPr>
          <w:rFonts w:ascii="Arial" w:hAnsi="Arial" w:cs="Arial"/>
          <w:sz w:val="22"/>
          <w:szCs w:val="22"/>
          <w:lang w:val="cs-CZ"/>
        </w:rPr>
        <w:t>14 miliard USD. Společnost Ant Financial řídí největší světový fond peněžního trhu</w:t>
      </w:r>
      <w:r w:rsidR="000D7E13">
        <w:rPr>
          <w:rFonts w:ascii="Arial" w:hAnsi="Arial" w:cs="Arial"/>
          <w:sz w:val="22"/>
          <w:szCs w:val="22"/>
          <w:lang w:val="cs-CZ"/>
        </w:rPr>
        <w:t xml:space="preserve"> a je známá</w:t>
      </w:r>
      <w:r w:rsidRPr="00534609">
        <w:rPr>
          <w:rFonts w:ascii="Arial" w:hAnsi="Arial" w:cs="Arial"/>
          <w:sz w:val="22"/>
          <w:szCs w:val="22"/>
          <w:lang w:val="cs-CZ"/>
        </w:rPr>
        <w:t xml:space="preserve"> díky své službě mobilních plateb Alipay.</w:t>
      </w:r>
    </w:p>
    <w:p w14:paraId="47CE9F71" w14:textId="0293515B" w:rsidR="009F7B8D" w:rsidRPr="008210C1" w:rsidRDefault="009F7B8D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210C1">
        <w:rPr>
          <w:rFonts w:ascii="Arial" w:hAnsi="Arial" w:cs="Arial"/>
          <w:sz w:val="22"/>
          <w:szCs w:val="22"/>
          <w:lang w:val="cs-CZ"/>
        </w:rPr>
        <w:t>„Velké finanční instituce, jako jsou banky a pojišťovny</w:t>
      </w:r>
      <w:r w:rsidR="00AE64F8" w:rsidRPr="008210C1">
        <w:rPr>
          <w:rFonts w:ascii="Arial" w:hAnsi="Arial" w:cs="Arial"/>
          <w:sz w:val="22"/>
          <w:szCs w:val="22"/>
          <w:lang w:val="cs-CZ"/>
        </w:rPr>
        <w:t>,</w:t>
      </w:r>
      <w:r w:rsidRPr="008210C1">
        <w:rPr>
          <w:rFonts w:ascii="Arial" w:hAnsi="Arial" w:cs="Arial"/>
          <w:sz w:val="22"/>
          <w:szCs w:val="22"/>
          <w:lang w:val="cs-CZ"/>
        </w:rPr>
        <w:t xml:space="preserve"> si pod tlakem rostoucí regulace a klesajících zisků velmi dobře uvědomil</w:t>
      </w:r>
      <w:r w:rsidR="00AE64F8" w:rsidRPr="008210C1">
        <w:rPr>
          <w:rFonts w:ascii="Arial" w:hAnsi="Arial" w:cs="Arial"/>
          <w:sz w:val="22"/>
          <w:szCs w:val="22"/>
          <w:lang w:val="cs-CZ"/>
        </w:rPr>
        <w:t>y</w:t>
      </w:r>
      <w:r w:rsidRPr="008210C1">
        <w:rPr>
          <w:rFonts w:ascii="Arial" w:hAnsi="Arial" w:cs="Arial"/>
          <w:sz w:val="22"/>
          <w:szCs w:val="22"/>
          <w:lang w:val="cs-CZ"/>
        </w:rPr>
        <w:t>, že souboj s</w:t>
      </w:r>
      <w:r w:rsidR="004B4E42" w:rsidRPr="008210C1">
        <w:rPr>
          <w:rFonts w:ascii="Arial" w:hAnsi="Arial" w:cs="Arial"/>
          <w:sz w:val="22"/>
          <w:szCs w:val="22"/>
          <w:lang w:val="cs-CZ"/>
        </w:rPr>
        <w:t xml:space="preserve"> úzce vyhraněnými </w:t>
      </w:r>
      <w:r w:rsidRPr="008210C1">
        <w:rPr>
          <w:rFonts w:ascii="Arial" w:hAnsi="Arial" w:cs="Arial"/>
          <w:sz w:val="22"/>
          <w:szCs w:val="22"/>
          <w:lang w:val="cs-CZ"/>
        </w:rPr>
        <w:t>fintech společnostmi</w:t>
      </w:r>
      <w:r w:rsidR="004B4E42" w:rsidRPr="008210C1">
        <w:rPr>
          <w:rFonts w:ascii="Arial" w:hAnsi="Arial" w:cs="Arial"/>
          <w:sz w:val="22"/>
          <w:szCs w:val="22"/>
          <w:lang w:val="cs-CZ"/>
        </w:rPr>
        <w:t xml:space="preserve"> se zaměřením například na platby nebo neživotní pojištění</w:t>
      </w:r>
      <w:r w:rsidR="00AE64F8" w:rsidRPr="008210C1">
        <w:rPr>
          <w:rFonts w:ascii="Arial" w:hAnsi="Arial" w:cs="Arial"/>
          <w:sz w:val="22"/>
          <w:szCs w:val="22"/>
          <w:lang w:val="cs-CZ"/>
        </w:rPr>
        <w:t>,</w:t>
      </w:r>
      <w:r w:rsidR="004B4E42" w:rsidRPr="008210C1">
        <w:rPr>
          <w:rFonts w:ascii="Arial" w:hAnsi="Arial" w:cs="Arial"/>
          <w:sz w:val="22"/>
          <w:szCs w:val="22"/>
          <w:lang w:val="cs-CZ"/>
        </w:rPr>
        <w:t xml:space="preserve"> </w:t>
      </w:r>
      <w:r w:rsidRPr="008210C1">
        <w:rPr>
          <w:rFonts w:ascii="Arial" w:hAnsi="Arial" w:cs="Arial"/>
          <w:sz w:val="22"/>
          <w:szCs w:val="22"/>
          <w:lang w:val="cs-CZ"/>
        </w:rPr>
        <w:t xml:space="preserve">nemohou </w:t>
      </w:r>
      <w:r w:rsidR="004B4E42" w:rsidRPr="008210C1">
        <w:rPr>
          <w:rFonts w:ascii="Arial" w:hAnsi="Arial" w:cs="Arial"/>
          <w:sz w:val="22"/>
          <w:szCs w:val="22"/>
          <w:lang w:val="cs-CZ"/>
        </w:rPr>
        <w:t xml:space="preserve">vyhrát. Tyto společnosti nejsou zatíženy komplexními procesy, </w:t>
      </w:r>
      <w:r w:rsidR="00AE64F8" w:rsidRPr="008210C1">
        <w:rPr>
          <w:rFonts w:ascii="Arial" w:hAnsi="Arial" w:cs="Arial"/>
          <w:sz w:val="22"/>
          <w:szCs w:val="22"/>
          <w:lang w:val="cs-CZ"/>
        </w:rPr>
        <w:t>případně</w:t>
      </w:r>
      <w:r w:rsidR="004B4E42" w:rsidRPr="008210C1">
        <w:rPr>
          <w:rFonts w:ascii="Arial" w:hAnsi="Arial" w:cs="Arial"/>
          <w:sz w:val="22"/>
          <w:szCs w:val="22"/>
          <w:lang w:val="cs-CZ"/>
        </w:rPr>
        <w:t xml:space="preserve"> zastaralými systémy, a tak mohou být mnohem rychlejší a inovativnější. Proto velké finanční instituce zvolil</w:t>
      </w:r>
      <w:r w:rsidR="00AE64F8" w:rsidRPr="008210C1">
        <w:rPr>
          <w:rFonts w:ascii="Arial" w:hAnsi="Arial" w:cs="Arial"/>
          <w:sz w:val="22"/>
          <w:szCs w:val="22"/>
          <w:lang w:val="cs-CZ"/>
        </w:rPr>
        <w:t>y</w:t>
      </w:r>
      <w:r w:rsidR="004B4E42" w:rsidRPr="008210C1">
        <w:rPr>
          <w:rFonts w:ascii="Arial" w:hAnsi="Arial" w:cs="Arial"/>
          <w:sz w:val="22"/>
          <w:szCs w:val="22"/>
          <w:lang w:val="cs-CZ"/>
        </w:rPr>
        <w:t xml:space="preserve"> metodu, kterou aplikují velké technologické společnosti, jako </w:t>
      </w:r>
      <w:r w:rsidR="00AE64F8" w:rsidRPr="008210C1">
        <w:rPr>
          <w:rFonts w:ascii="Arial" w:hAnsi="Arial" w:cs="Arial"/>
          <w:sz w:val="22"/>
          <w:szCs w:val="22"/>
          <w:lang w:val="cs-CZ"/>
        </w:rPr>
        <w:t xml:space="preserve">například </w:t>
      </w:r>
      <w:r w:rsidR="004B4E42" w:rsidRPr="008210C1">
        <w:rPr>
          <w:rFonts w:ascii="Arial" w:hAnsi="Arial" w:cs="Arial"/>
          <w:sz w:val="22"/>
          <w:szCs w:val="22"/>
          <w:lang w:val="cs-CZ"/>
        </w:rPr>
        <w:t>Apple, Google</w:t>
      </w:r>
      <w:r w:rsidR="00AE64F8" w:rsidRPr="008210C1">
        <w:rPr>
          <w:rFonts w:ascii="Arial" w:hAnsi="Arial" w:cs="Arial"/>
          <w:sz w:val="22"/>
          <w:szCs w:val="22"/>
          <w:lang w:val="cs-CZ"/>
        </w:rPr>
        <w:t>,</w:t>
      </w:r>
      <w:r w:rsidR="004B4E42" w:rsidRPr="008210C1">
        <w:rPr>
          <w:rFonts w:ascii="Arial" w:hAnsi="Arial" w:cs="Arial"/>
          <w:sz w:val="22"/>
          <w:szCs w:val="22"/>
          <w:lang w:val="cs-CZ"/>
        </w:rPr>
        <w:t xml:space="preserve"> či Microsoft</w:t>
      </w:r>
      <w:r w:rsidR="000E6A70" w:rsidRPr="008210C1">
        <w:rPr>
          <w:rFonts w:ascii="Arial" w:hAnsi="Arial" w:cs="Arial"/>
          <w:sz w:val="22"/>
          <w:szCs w:val="22"/>
          <w:lang w:val="cs-CZ"/>
        </w:rPr>
        <w:t xml:space="preserve">. A nabyli zjištění, </w:t>
      </w:r>
      <w:r w:rsidR="004B4E42" w:rsidRPr="008210C1">
        <w:rPr>
          <w:rFonts w:ascii="Arial" w:hAnsi="Arial" w:cs="Arial"/>
          <w:sz w:val="22"/>
          <w:szCs w:val="22"/>
          <w:lang w:val="cs-CZ"/>
        </w:rPr>
        <w:t>že je lepší konkurenci raději vlastnit, než jí čelit</w:t>
      </w:r>
      <w:r w:rsidR="00656D3B" w:rsidRPr="008210C1">
        <w:rPr>
          <w:rFonts w:ascii="Arial" w:hAnsi="Arial" w:cs="Arial"/>
          <w:sz w:val="22"/>
          <w:szCs w:val="22"/>
          <w:lang w:val="cs-CZ"/>
        </w:rPr>
        <w:t>,</w:t>
      </w:r>
      <w:r w:rsidR="004B4E42" w:rsidRPr="008210C1">
        <w:rPr>
          <w:rFonts w:ascii="Arial" w:hAnsi="Arial" w:cs="Arial"/>
          <w:sz w:val="22"/>
          <w:szCs w:val="22"/>
          <w:lang w:val="cs-CZ"/>
        </w:rPr>
        <w:t>“</w:t>
      </w:r>
      <w:r w:rsidR="00656D3B" w:rsidRPr="008210C1">
        <w:rPr>
          <w:rFonts w:ascii="Arial" w:hAnsi="Arial" w:cs="Arial"/>
          <w:sz w:val="22"/>
          <w:szCs w:val="22"/>
          <w:lang w:val="cs-CZ"/>
        </w:rPr>
        <w:t xml:space="preserve"> tvrdí Karel Kotoun, manažer </w:t>
      </w:r>
      <w:r w:rsidR="000E6A70" w:rsidRPr="008210C1">
        <w:rPr>
          <w:rFonts w:ascii="Arial" w:hAnsi="Arial" w:cs="Arial"/>
          <w:sz w:val="22"/>
          <w:szCs w:val="22"/>
          <w:lang w:val="cs-CZ"/>
        </w:rPr>
        <w:t>v oblasti finančních služeb, Accenture</w:t>
      </w:r>
      <w:r w:rsidR="00656D3B" w:rsidRPr="008210C1">
        <w:rPr>
          <w:rFonts w:ascii="Arial" w:hAnsi="Arial" w:cs="Arial"/>
          <w:sz w:val="22"/>
          <w:szCs w:val="22"/>
          <w:lang w:val="cs-CZ"/>
        </w:rPr>
        <w:t>.</w:t>
      </w:r>
    </w:p>
    <w:p w14:paraId="7A988520" w14:textId="77777777" w:rsidR="00534609" w:rsidRDefault="00842982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42982">
        <w:rPr>
          <w:rFonts w:ascii="Arial" w:hAnsi="Arial" w:cs="Arial"/>
          <w:sz w:val="22"/>
          <w:szCs w:val="22"/>
          <w:lang w:val="cs-CZ"/>
        </w:rPr>
        <w:t>Po Ant Financ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842982">
        <w:rPr>
          <w:rFonts w:ascii="Arial" w:hAnsi="Arial" w:cs="Arial"/>
          <w:sz w:val="22"/>
          <w:szCs w:val="22"/>
          <w:lang w:val="cs-CZ"/>
        </w:rPr>
        <w:t>al byl dalším největším příjemcem investic čínský Du Xiaoman Financial - odnož čínského giganta, internetového vyhledávače Baidu – který v dubnu získal 4,3 miliardy USD ve dvou samostatných transakcích, a mohl tak posílit svůj spotřebitelský finanční byznys a spolupráci s domácími věřiteli. Další velká transakce v Číně činila 1,3 miliardy USD, které získala platforma správy majetku Lufax v prosinci.</w:t>
      </w:r>
    </w:p>
    <w:p w14:paraId="48380D3E" w14:textId="77777777" w:rsidR="00842982" w:rsidRPr="00842982" w:rsidRDefault="00842982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42982">
        <w:rPr>
          <w:rFonts w:ascii="Arial" w:hAnsi="Arial" w:cs="Arial"/>
          <w:sz w:val="22"/>
          <w:szCs w:val="22"/>
          <w:lang w:val="cs-CZ"/>
        </w:rPr>
        <w:t xml:space="preserve">Hodnota obchodů v USA též prudce vzrostla, až o 46 % na 16,6 miliardy USD. I přesto, že jsou Spojené Státy historicky největším a nejrušnějším trhem pro financování fintech, v roce 2018 zde neproběhly obchody větší než 1 miliarda USD, přičemž největší obchod byl 600 milionů USD, které získal z úvěrové transakce v květnu online poskytovatel úvěrů </w:t>
      </w:r>
      <w:r w:rsidRPr="00842982">
        <w:rPr>
          <w:rFonts w:ascii="Arial" w:hAnsi="Arial" w:cs="Arial"/>
          <w:sz w:val="22"/>
          <w:szCs w:val="22"/>
          <w:lang w:val="cs-CZ"/>
        </w:rPr>
        <w:lastRenderedPageBreak/>
        <w:t>LendingPoint. Fintech v platbách představoval 24 % amerického financování, v úvěrech to bylo 22 % a v oblasti insurtech 19 %.</w:t>
      </w:r>
    </w:p>
    <w:p w14:paraId="2960DDAA" w14:textId="288A7E3C" w:rsidR="00842982" w:rsidRDefault="00842982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42982">
        <w:rPr>
          <w:rFonts w:ascii="Arial" w:hAnsi="Arial" w:cs="Arial"/>
          <w:sz w:val="22"/>
          <w:szCs w:val="22"/>
          <w:lang w:val="cs-CZ"/>
        </w:rPr>
        <w:t xml:space="preserve">Ve Velké Británii fintech investice stouply o více než 50 %, na 3,9 miliardy USD.  Největšími příjemci </w:t>
      </w:r>
      <w:r>
        <w:rPr>
          <w:rFonts w:ascii="Arial" w:hAnsi="Arial" w:cs="Arial"/>
          <w:sz w:val="22"/>
          <w:szCs w:val="22"/>
          <w:lang w:val="cs-CZ"/>
        </w:rPr>
        <w:t>zde</w:t>
      </w:r>
      <w:r w:rsidRPr="00842982">
        <w:rPr>
          <w:rFonts w:ascii="Arial" w:hAnsi="Arial" w:cs="Arial"/>
          <w:sz w:val="22"/>
          <w:szCs w:val="22"/>
          <w:lang w:val="cs-CZ"/>
        </w:rPr>
        <w:t xml:space="preserve"> byly nově vzniklé bankovní subjekty. Zájem investorů o tento sektor vzrostl se zavedením regulací otevřeného bankovnictví, které spotřebitelům usnadnilo sdílení jejich finančních údajů s externími poskytovateli. Atom Bank získala v březnu téměř 200 milionů USD, Revolut v dubnu 250 milionů USD a Monzo v říjnu okolo 110 milionů USD. Dále to byla společnost Prodigy Finance, která poskytuje přeshraniční půjčky postgraduálním studentů</w:t>
      </w:r>
      <w:r w:rsidR="00F50FB3">
        <w:rPr>
          <w:rFonts w:ascii="Arial" w:hAnsi="Arial" w:cs="Arial"/>
          <w:sz w:val="22"/>
          <w:szCs w:val="22"/>
          <w:lang w:val="cs-CZ"/>
        </w:rPr>
        <w:t>m.</w:t>
      </w:r>
      <w:r w:rsidRPr="00842982">
        <w:rPr>
          <w:rFonts w:ascii="Arial" w:hAnsi="Arial" w:cs="Arial"/>
          <w:sz w:val="22"/>
          <w:szCs w:val="22"/>
          <w:lang w:val="cs-CZ"/>
        </w:rPr>
        <w:t xml:space="preserve"> </w:t>
      </w:r>
      <w:r w:rsidR="00F50FB3">
        <w:rPr>
          <w:rFonts w:ascii="Arial" w:hAnsi="Arial" w:cs="Arial"/>
          <w:sz w:val="22"/>
          <w:szCs w:val="22"/>
          <w:lang w:val="cs-CZ"/>
        </w:rPr>
        <w:t>T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842982">
        <w:rPr>
          <w:rFonts w:ascii="Arial" w:hAnsi="Arial" w:cs="Arial"/>
          <w:sz w:val="22"/>
          <w:szCs w:val="22"/>
          <w:lang w:val="cs-CZ"/>
        </w:rPr>
        <w:t xml:space="preserve"> získala 1 miliardu USD od skupiny bank a dalších investorů.</w:t>
      </w:r>
    </w:p>
    <w:p w14:paraId="015C912F" w14:textId="78BD4BFC" w:rsidR="00656D3B" w:rsidRPr="00842982" w:rsidRDefault="00656D3B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210C1">
        <w:rPr>
          <w:rFonts w:ascii="Arial" w:hAnsi="Arial" w:cs="Arial"/>
          <w:sz w:val="22"/>
          <w:szCs w:val="22"/>
          <w:lang w:val="cs-CZ"/>
        </w:rPr>
        <w:t xml:space="preserve">„V Čechách se investice více zaměřují na startupy s již osvědčeným produktem, tj. Series A, nebo Series B investice, anebo se investice agregují v akcelerátorech jako například StartupYard. V Číně a USA jsou poměrně více podporovány startupy v rané fázi, tzv. Seed Stage. To má v důsledku nepřímý dopad na počet úspěšných startupů a </w:t>
      </w:r>
      <w:r w:rsidR="007A2FEE" w:rsidRPr="008210C1">
        <w:rPr>
          <w:rFonts w:ascii="Arial" w:hAnsi="Arial" w:cs="Arial"/>
          <w:sz w:val="22"/>
          <w:szCs w:val="22"/>
          <w:lang w:val="cs-CZ"/>
        </w:rPr>
        <w:t>rovněž</w:t>
      </w:r>
      <w:r w:rsidRPr="008210C1">
        <w:rPr>
          <w:rFonts w:ascii="Arial" w:hAnsi="Arial" w:cs="Arial"/>
          <w:sz w:val="22"/>
          <w:szCs w:val="22"/>
          <w:lang w:val="cs-CZ"/>
        </w:rPr>
        <w:t xml:space="preserve"> na počet tzv. Jednorožců, tj. startupů, jejichž hodnota překročila 1 miliardu dolarů,“ dodává Karel Kotoun.</w:t>
      </w:r>
    </w:p>
    <w:p w14:paraId="08CCAB76" w14:textId="77777777" w:rsidR="00842982" w:rsidRPr="00842982" w:rsidRDefault="00842982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42982">
        <w:rPr>
          <w:rFonts w:ascii="Arial" w:hAnsi="Arial" w:cs="Arial"/>
          <w:sz w:val="22"/>
          <w:szCs w:val="22"/>
          <w:lang w:val="cs-CZ"/>
        </w:rPr>
        <w:t>Rozsáhlé zisky můžeme vidět i jinde ve světě, s rekordními investicemi v Kanadě, Austrálii, Japonsku a Brazílii. Konkrétně v Japonsku se investice zvýšily nejméně pětinásobně na 542 milionů USD; investice v Austrálii se více než zdvojnásobily, na 757 milionů USD; investice v Kanadě vzrostly o 53 % na 961 milionů USD; a v Brazílii o 38 %, na 587 milionů USD.</w:t>
      </w:r>
    </w:p>
    <w:p w14:paraId="2EDA773B" w14:textId="27B4C1E8" w:rsidR="00842982" w:rsidRPr="00842982" w:rsidRDefault="00842982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42982">
        <w:rPr>
          <w:rFonts w:ascii="Arial" w:hAnsi="Arial" w:cs="Arial"/>
          <w:sz w:val="22"/>
          <w:szCs w:val="22"/>
          <w:lang w:val="cs-CZ"/>
        </w:rPr>
        <w:t>Počet fintechových obchodů také značně vzrostl, celosvětově na 3 251 - o zhruba 19 % od roku 2017</w:t>
      </w:r>
      <w:r w:rsidR="00F50FB3">
        <w:rPr>
          <w:rFonts w:ascii="Arial" w:hAnsi="Arial" w:cs="Arial"/>
          <w:sz w:val="22"/>
          <w:szCs w:val="22"/>
          <w:lang w:val="cs-CZ"/>
        </w:rPr>
        <w:t xml:space="preserve"> </w:t>
      </w:r>
      <w:r w:rsidRPr="00842982">
        <w:rPr>
          <w:rFonts w:ascii="Arial" w:hAnsi="Arial" w:cs="Arial"/>
          <w:sz w:val="22"/>
          <w:szCs w:val="22"/>
          <w:lang w:val="cs-CZ"/>
        </w:rPr>
        <w:t>- kdy investoři do venture kapitálu, soukromé akciové firmy, tradiční banky i pojišťovny přišly s novými technologiemi v oblasti plateb, bankovnictví a správy majetku. V Číně se počet obchodů více než zdvojnásobil, na 348 (ze 154 v roce 2017). V zemi je aktivní fintech ekosystém, který má stále velký potenciál růstu v porovnání s USA, kde bylo uskutečněno 1 100 obchodů. Aktivity prudce vzrostly i ve Velké Británii, kde bylo o 24 % více obchodů; v Singapuru, kde bylo obchodů o 16 % více a v Japonsku, kde se počet obchodů téměř ztrojnásobil.</w:t>
      </w:r>
    </w:p>
    <w:p w14:paraId="0E1CD01A" w14:textId="06E620BF" w:rsidR="00842982" w:rsidRDefault="00656D3B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8210C1">
        <w:rPr>
          <w:rFonts w:ascii="Arial" w:hAnsi="Arial" w:cs="Arial"/>
          <w:sz w:val="22"/>
          <w:szCs w:val="22"/>
          <w:lang w:val="cs-CZ"/>
        </w:rPr>
        <w:t xml:space="preserve">„Obecně se dá </w:t>
      </w:r>
      <w:r w:rsidR="00814E6C" w:rsidRPr="008210C1">
        <w:rPr>
          <w:rFonts w:ascii="Arial" w:hAnsi="Arial" w:cs="Arial"/>
          <w:sz w:val="22"/>
          <w:szCs w:val="22"/>
          <w:lang w:val="cs-CZ"/>
        </w:rPr>
        <w:t>říci, že rok 2018 nastolil trend, který bude akcelerovat v následujících letech. Tím je pokračující inovace ve finančním sektoru plynoucí hlavně z </w:t>
      </w:r>
      <w:r w:rsidR="007A2FEE" w:rsidRPr="008210C1">
        <w:rPr>
          <w:rFonts w:ascii="Arial" w:hAnsi="Arial" w:cs="Arial"/>
          <w:sz w:val="22"/>
          <w:szCs w:val="22"/>
          <w:lang w:val="cs-CZ"/>
        </w:rPr>
        <w:t>a</w:t>
      </w:r>
      <w:r w:rsidR="00814E6C" w:rsidRPr="008210C1">
        <w:rPr>
          <w:rFonts w:ascii="Arial" w:hAnsi="Arial" w:cs="Arial"/>
          <w:sz w:val="22"/>
          <w:szCs w:val="22"/>
          <w:lang w:val="cs-CZ"/>
        </w:rPr>
        <w:t>sijských zemí. Důvod je prostý</w:t>
      </w:r>
      <w:r w:rsidR="007A2FEE" w:rsidRPr="008210C1">
        <w:rPr>
          <w:rFonts w:ascii="Arial" w:hAnsi="Arial" w:cs="Arial"/>
          <w:sz w:val="22"/>
          <w:szCs w:val="22"/>
          <w:lang w:val="cs-CZ"/>
        </w:rPr>
        <w:t>. Tamní populace,</w:t>
      </w:r>
      <w:r w:rsidR="00814E6C" w:rsidRPr="008210C1">
        <w:rPr>
          <w:rFonts w:ascii="Arial" w:hAnsi="Arial" w:cs="Arial"/>
          <w:sz w:val="22"/>
          <w:szCs w:val="22"/>
          <w:lang w:val="cs-CZ"/>
        </w:rPr>
        <w:t xml:space="preserve"> </w:t>
      </w:r>
      <w:r w:rsidR="00384430" w:rsidRPr="008210C1">
        <w:rPr>
          <w:rFonts w:ascii="Arial" w:hAnsi="Arial" w:cs="Arial"/>
          <w:sz w:val="22"/>
          <w:szCs w:val="22"/>
          <w:lang w:val="cs-CZ"/>
        </w:rPr>
        <w:t>s</w:t>
      </w:r>
      <w:r w:rsidR="007A2FEE" w:rsidRPr="008210C1">
        <w:rPr>
          <w:rFonts w:ascii="Arial" w:hAnsi="Arial" w:cs="Arial"/>
          <w:sz w:val="22"/>
          <w:szCs w:val="22"/>
          <w:lang w:val="cs-CZ"/>
        </w:rPr>
        <w:t> </w:t>
      </w:r>
      <w:r w:rsidR="00384430" w:rsidRPr="008210C1">
        <w:rPr>
          <w:rFonts w:ascii="Arial" w:hAnsi="Arial" w:cs="Arial"/>
          <w:sz w:val="22"/>
          <w:szCs w:val="22"/>
          <w:lang w:val="cs-CZ"/>
        </w:rPr>
        <w:t>v</w:t>
      </w:r>
      <w:r w:rsidR="007A2FEE" w:rsidRPr="008210C1">
        <w:rPr>
          <w:rFonts w:ascii="Arial" w:hAnsi="Arial" w:cs="Arial"/>
          <w:sz w:val="22"/>
          <w:szCs w:val="22"/>
          <w:lang w:val="cs-CZ"/>
        </w:rPr>
        <w:t>ý</w:t>
      </w:r>
      <w:r w:rsidR="00384430" w:rsidRPr="008210C1">
        <w:rPr>
          <w:rFonts w:ascii="Arial" w:hAnsi="Arial" w:cs="Arial"/>
          <w:sz w:val="22"/>
          <w:szCs w:val="22"/>
          <w:lang w:val="cs-CZ"/>
        </w:rPr>
        <w:t>j</w:t>
      </w:r>
      <w:r w:rsidR="007A2FEE" w:rsidRPr="008210C1">
        <w:rPr>
          <w:rFonts w:ascii="Arial" w:hAnsi="Arial" w:cs="Arial"/>
          <w:sz w:val="22"/>
          <w:szCs w:val="22"/>
          <w:lang w:val="cs-CZ"/>
        </w:rPr>
        <w:t>i</w:t>
      </w:r>
      <w:r w:rsidR="00384430" w:rsidRPr="008210C1">
        <w:rPr>
          <w:rFonts w:ascii="Arial" w:hAnsi="Arial" w:cs="Arial"/>
          <w:sz w:val="22"/>
          <w:szCs w:val="22"/>
          <w:lang w:val="cs-CZ"/>
        </w:rPr>
        <w:t>mkou</w:t>
      </w:r>
      <w:r w:rsidR="007A2FEE" w:rsidRPr="008210C1">
        <w:rPr>
          <w:rFonts w:ascii="Arial" w:hAnsi="Arial" w:cs="Arial"/>
          <w:sz w:val="22"/>
          <w:szCs w:val="22"/>
          <w:lang w:val="cs-CZ"/>
        </w:rPr>
        <w:t xml:space="preserve"> </w:t>
      </w:r>
      <w:r w:rsidR="00384430" w:rsidRPr="008210C1">
        <w:rPr>
          <w:rFonts w:ascii="Arial" w:hAnsi="Arial" w:cs="Arial"/>
          <w:sz w:val="22"/>
          <w:szCs w:val="22"/>
          <w:lang w:val="cs-CZ"/>
        </w:rPr>
        <w:t>japonské</w:t>
      </w:r>
      <w:r w:rsidR="007A2FEE" w:rsidRPr="008210C1">
        <w:rPr>
          <w:rFonts w:ascii="Arial" w:hAnsi="Arial" w:cs="Arial"/>
          <w:sz w:val="22"/>
          <w:szCs w:val="22"/>
          <w:lang w:val="cs-CZ"/>
        </w:rPr>
        <w:t>,</w:t>
      </w:r>
      <w:r w:rsidR="00384430" w:rsidRPr="008210C1">
        <w:rPr>
          <w:rFonts w:ascii="Arial" w:hAnsi="Arial" w:cs="Arial"/>
          <w:sz w:val="22"/>
          <w:szCs w:val="22"/>
          <w:lang w:val="cs-CZ"/>
        </w:rPr>
        <w:t xml:space="preserve"> </w:t>
      </w:r>
      <w:r w:rsidR="00814E6C" w:rsidRPr="008210C1">
        <w:rPr>
          <w:rFonts w:ascii="Arial" w:hAnsi="Arial" w:cs="Arial"/>
          <w:sz w:val="22"/>
          <w:szCs w:val="22"/>
          <w:lang w:val="cs-CZ"/>
        </w:rPr>
        <w:t>jsou demograficky mnohem mladší, než</w:t>
      </w:r>
      <w:r w:rsidR="007A2FEE" w:rsidRPr="008210C1">
        <w:rPr>
          <w:rFonts w:ascii="Arial" w:hAnsi="Arial" w:cs="Arial"/>
          <w:sz w:val="22"/>
          <w:szCs w:val="22"/>
          <w:lang w:val="cs-CZ"/>
        </w:rPr>
        <w:t xml:space="preserve"> obyvatelstvo Evropy</w:t>
      </w:r>
      <w:r w:rsidR="00814E6C" w:rsidRPr="008210C1">
        <w:rPr>
          <w:rFonts w:ascii="Arial" w:hAnsi="Arial" w:cs="Arial"/>
          <w:sz w:val="22"/>
          <w:szCs w:val="22"/>
          <w:lang w:val="cs-CZ"/>
        </w:rPr>
        <w:t xml:space="preserve">. Navíc jsou </w:t>
      </w:r>
      <w:r w:rsidR="007A2FEE" w:rsidRPr="008210C1">
        <w:rPr>
          <w:rFonts w:ascii="Arial" w:hAnsi="Arial" w:cs="Arial"/>
          <w:sz w:val="22"/>
          <w:szCs w:val="22"/>
          <w:lang w:val="cs-CZ"/>
        </w:rPr>
        <w:t xml:space="preserve">obyvatelé </w:t>
      </w:r>
      <w:r w:rsidR="00814E6C" w:rsidRPr="008210C1">
        <w:rPr>
          <w:rFonts w:ascii="Arial" w:hAnsi="Arial" w:cs="Arial"/>
          <w:sz w:val="22"/>
          <w:szCs w:val="22"/>
          <w:lang w:val="cs-CZ"/>
        </w:rPr>
        <w:t>asijsk</w:t>
      </w:r>
      <w:r w:rsidR="007A2FEE" w:rsidRPr="008210C1">
        <w:rPr>
          <w:rFonts w:ascii="Arial" w:hAnsi="Arial" w:cs="Arial"/>
          <w:sz w:val="22"/>
          <w:szCs w:val="22"/>
          <w:lang w:val="cs-CZ"/>
        </w:rPr>
        <w:t>ých</w:t>
      </w:r>
      <w:r w:rsidR="00814E6C" w:rsidRPr="008210C1">
        <w:rPr>
          <w:rFonts w:ascii="Arial" w:hAnsi="Arial" w:cs="Arial"/>
          <w:sz w:val="22"/>
          <w:szCs w:val="22"/>
          <w:lang w:val="cs-CZ"/>
        </w:rPr>
        <w:t xml:space="preserve"> zem</w:t>
      </w:r>
      <w:r w:rsidR="007A2FEE" w:rsidRPr="008210C1">
        <w:rPr>
          <w:rFonts w:ascii="Arial" w:hAnsi="Arial" w:cs="Arial"/>
          <w:sz w:val="22"/>
          <w:szCs w:val="22"/>
          <w:lang w:val="cs-CZ"/>
        </w:rPr>
        <w:t>í</w:t>
      </w:r>
      <w:r w:rsidR="00814E6C" w:rsidRPr="008210C1">
        <w:rPr>
          <w:rFonts w:ascii="Arial" w:hAnsi="Arial" w:cs="Arial"/>
          <w:sz w:val="22"/>
          <w:szCs w:val="22"/>
          <w:lang w:val="cs-CZ"/>
        </w:rPr>
        <w:t xml:space="preserve"> mnohem více zvyklí používat svůj mobilní telefon jako hlavní zařízení pro přístup k internetu a</w:t>
      </w:r>
      <w:r w:rsidR="00623E49" w:rsidRPr="008210C1">
        <w:rPr>
          <w:rFonts w:ascii="Arial" w:hAnsi="Arial" w:cs="Arial"/>
          <w:sz w:val="22"/>
          <w:szCs w:val="22"/>
          <w:lang w:val="cs-CZ"/>
        </w:rPr>
        <w:t xml:space="preserve"> k</w:t>
      </w:r>
      <w:r w:rsidR="00814E6C" w:rsidRPr="008210C1">
        <w:rPr>
          <w:rFonts w:ascii="Arial" w:hAnsi="Arial" w:cs="Arial"/>
          <w:sz w:val="22"/>
          <w:szCs w:val="22"/>
          <w:lang w:val="cs-CZ"/>
        </w:rPr>
        <w:t xml:space="preserve"> řešení veškerých služeb. Důvodem je to, že kvůli historick</w:t>
      </w:r>
      <w:r w:rsidR="00623E49" w:rsidRPr="008210C1">
        <w:rPr>
          <w:rFonts w:ascii="Arial" w:hAnsi="Arial" w:cs="Arial"/>
          <w:sz w:val="22"/>
          <w:szCs w:val="22"/>
          <w:lang w:val="cs-CZ"/>
        </w:rPr>
        <w:t xml:space="preserve">y </w:t>
      </w:r>
      <w:r w:rsidR="00814E6C" w:rsidRPr="008210C1">
        <w:rPr>
          <w:rFonts w:ascii="Arial" w:hAnsi="Arial" w:cs="Arial"/>
          <w:sz w:val="22"/>
          <w:szCs w:val="22"/>
          <w:lang w:val="cs-CZ"/>
        </w:rPr>
        <w:t xml:space="preserve">vysoké </w:t>
      </w:r>
      <w:r w:rsidR="00623E49" w:rsidRPr="008210C1">
        <w:rPr>
          <w:rFonts w:ascii="Arial" w:hAnsi="Arial" w:cs="Arial"/>
          <w:sz w:val="22"/>
          <w:szCs w:val="22"/>
          <w:lang w:val="cs-CZ"/>
        </w:rPr>
        <w:t>ceně</w:t>
      </w:r>
      <w:r w:rsidR="00814E6C" w:rsidRPr="008210C1">
        <w:rPr>
          <w:rFonts w:ascii="Arial" w:hAnsi="Arial" w:cs="Arial"/>
          <w:sz w:val="22"/>
          <w:szCs w:val="22"/>
          <w:lang w:val="cs-CZ"/>
        </w:rPr>
        <w:t xml:space="preserve"> osobního počítače byl mobilní telefon jediným finančně dostupným zařízením, které si mohl</w:t>
      </w:r>
      <w:r w:rsidR="007A2FEE" w:rsidRPr="008210C1">
        <w:rPr>
          <w:rFonts w:ascii="Arial" w:hAnsi="Arial" w:cs="Arial"/>
          <w:sz w:val="22"/>
          <w:szCs w:val="22"/>
          <w:lang w:val="cs-CZ"/>
        </w:rPr>
        <w:t>y</w:t>
      </w:r>
      <w:r w:rsidR="00814E6C" w:rsidRPr="008210C1">
        <w:rPr>
          <w:rFonts w:ascii="Arial" w:hAnsi="Arial" w:cs="Arial"/>
          <w:sz w:val="22"/>
          <w:szCs w:val="22"/>
          <w:lang w:val="cs-CZ"/>
        </w:rPr>
        <w:t xml:space="preserve"> tamní populace dovolit. Je proto nutné velmi pozorně sledovat vývoj v </w:t>
      </w:r>
      <w:r w:rsidR="007A2FEE" w:rsidRPr="008210C1">
        <w:rPr>
          <w:rFonts w:ascii="Arial" w:hAnsi="Arial" w:cs="Arial"/>
          <w:sz w:val="22"/>
          <w:szCs w:val="22"/>
          <w:lang w:val="cs-CZ"/>
        </w:rPr>
        <w:t>As</w:t>
      </w:r>
      <w:r w:rsidR="00814E6C" w:rsidRPr="008210C1">
        <w:rPr>
          <w:rFonts w:ascii="Arial" w:hAnsi="Arial" w:cs="Arial"/>
          <w:sz w:val="22"/>
          <w:szCs w:val="22"/>
          <w:lang w:val="cs-CZ"/>
        </w:rPr>
        <w:t xml:space="preserve">ii, především </w:t>
      </w:r>
      <w:r w:rsidR="007A2FEE" w:rsidRPr="008210C1">
        <w:rPr>
          <w:rFonts w:ascii="Arial" w:hAnsi="Arial" w:cs="Arial"/>
          <w:sz w:val="22"/>
          <w:szCs w:val="22"/>
          <w:lang w:val="cs-CZ"/>
        </w:rPr>
        <w:t xml:space="preserve">pak </w:t>
      </w:r>
      <w:r w:rsidR="00814E6C" w:rsidRPr="008210C1">
        <w:rPr>
          <w:rFonts w:ascii="Arial" w:hAnsi="Arial" w:cs="Arial"/>
          <w:sz w:val="22"/>
          <w:szCs w:val="22"/>
          <w:lang w:val="cs-CZ"/>
        </w:rPr>
        <w:t>v Číně,</w:t>
      </w:r>
      <w:r w:rsidR="00842982" w:rsidRPr="008210C1">
        <w:rPr>
          <w:rFonts w:ascii="Arial" w:hAnsi="Arial" w:cs="Arial"/>
          <w:sz w:val="22"/>
          <w:szCs w:val="22"/>
          <w:lang w:val="cs-CZ"/>
        </w:rPr>
        <w:t>“</w:t>
      </w:r>
      <w:r w:rsidR="00814E6C" w:rsidRPr="008210C1">
        <w:rPr>
          <w:rFonts w:ascii="Arial" w:hAnsi="Arial" w:cs="Arial"/>
          <w:sz w:val="22"/>
          <w:szCs w:val="22"/>
          <w:lang w:val="cs-CZ"/>
        </w:rPr>
        <w:t xml:space="preserve"> uzavírá Karel Kotoun.</w:t>
      </w:r>
    </w:p>
    <w:p w14:paraId="3E2D2492" w14:textId="64E0CA4E" w:rsidR="00814E6C" w:rsidRDefault="00814E6C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1EBE074D" w14:textId="7B2ADD33" w:rsidR="00814E6C" w:rsidRDefault="00814E6C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674F1A0" w14:textId="77777777" w:rsidR="00814E6C" w:rsidRDefault="00814E6C" w:rsidP="00842982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</w:p>
    <w:bookmarkEnd w:id="0"/>
    <w:p w14:paraId="5D86BAA7" w14:textId="77777777" w:rsidR="00EC7715" w:rsidRPr="00842982" w:rsidRDefault="00EC7715" w:rsidP="00842982">
      <w:pPr>
        <w:spacing w:before="120" w:after="192" w:line="276" w:lineRule="auto"/>
        <w:rPr>
          <w:rFonts w:ascii="Arial" w:hAnsi="Arial" w:cs="Arial"/>
          <w:sz w:val="18"/>
          <w:szCs w:val="18"/>
          <w:lang w:val="cs-CZ"/>
        </w:rPr>
      </w:pPr>
    </w:p>
    <w:sectPr w:rsidR="00EC7715" w:rsidRPr="00842982" w:rsidSect="001834FA">
      <w:headerReference w:type="default" r:id="rId7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C02C" w14:textId="77777777" w:rsidR="0086785B" w:rsidRDefault="0086785B" w:rsidP="002D05F9">
      <w:pPr>
        <w:spacing w:after="0" w:line="240" w:lineRule="auto"/>
      </w:pPr>
      <w:r>
        <w:separator/>
      </w:r>
    </w:p>
  </w:endnote>
  <w:endnote w:type="continuationSeparator" w:id="0">
    <w:p w14:paraId="1D169DB9" w14:textId="77777777" w:rsidR="0086785B" w:rsidRDefault="0086785B" w:rsidP="002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1E23" w14:textId="77777777" w:rsidR="0086785B" w:rsidRDefault="0086785B" w:rsidP="002D05F9">
      <w:pPr>
        <w:spacing w:after="0" w:line="240" w:lineRule="auto"/>
      </w:pPr>
      <w:r>
        <w:separator/>
      </w:r>
    </w:p>
  </w:footnote>
  <w:footnote w:type="continuationSeparator" w:id="0">
    <w:p w14:paraId="5E190505" w14:textId="77777777" w:rsidR="0086785B" w:rsidRDefault="0086785B" w:rsidP="002D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8D4E" w14:textId="77777777" w:rsidR="001834FA" w:rsidRDefault="001834FA">
    <w:pPr>
      <w:pStyle w:val="Zhlav"/>
    </w:pPr>
    <w:r>
      <w:rPr>
        <w:rFonts w:ascii="Times New Roman" w:hAnsi="Times New Roman"/>
        <w:noProof/>
        <w:lang w:eastAsia="cs-CZ"/>
      </w:rPr>
      <w:drawing>
        <wp:inline distT="0" distB="0" distL="0" distR="0" wp14:anchorId="770E6EEF" wp14:editId="7FC2B989">
          <wp:extent cx="156210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111" cy="42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3"/>
    <w:rsid w:val="00053F11"/>
    <w:rsid w:val="000A5157"/>
    <w:rsid w:val="000C267F"/>
    <w:rsid w:val="000D7E13"/>
    <w:rsid w:val="000E6A70"/>
    <w:rsid w:val="001728DB"/>
    <w:rsid w:val="001834FA"/>
    <w:rsid w:val="0021779A"/>
    <w:rsid w:val="00235165"/>
    <w:rsid w:val="002A1DBA"/>
    <w:rsid w:val="002C45CD"/>
    <w:rsid w:val="002D05F9"/>
    <w:rsid w:val="002D1406"/>
    <w:rsid w:val="002F039E"/>
    <w:rsid w:val="003237FB"/>
    <w:rsid w:val="0032540F"/>
    <w:rsid w:val="00353D55"/>
    <w:rsid w:val="0037668C"/>
    <w:rsid w:val="00384430"/>
    <w:rsid w:val="003A25D3"/>
    <w:rsid w:val="003C20D6"/>
    <w:rsid w:val="003C3028"/>
    <w:rsid w:val="003C3368"/>
    <w:rsid w:val="00407529"/>
    <w:rsid w:val="0041348D"/>
    <w:rsid w:val="004516DA"/>
    <w:rsid w:val="00467A33"/>
    <w:rsid w:val="0047334A"/>
    <w:rsid w:val="00484A60"/>
    <w:rsid w:val="004A1C40"/>
    <w:rsid w:val="004B4E42"/>
    <w:rsid w:val="004D385D"/>
    <w:rsid w:val="005116BB"/>
    <w:rsid w:val="00534609"/>
    <w:rsid w:val="00546AA5"/>
    <w:rsid w:val="005F02EF"/>
    <w:rsid w:val="00614FE3"/>
    <w:rsid w:val="00623E49"/>
    <w:rsid w:val="00656D3B"/>
    <w:rsid w:val="007851A7"/>
    <w:rsid w:val="007A2FEE"/>
    <w:rsid w:val="007B15D6"/>
    <w:rsid w:val="00810FEB"/>
    <w:rsid w:val="00814E6C"/>
    <w:rsid w:val="008210C1"/>
    <w:rsid w:val="00842982"/>
    <w:rsid w:val="0084651C"/>
    <w:rsid w:val="008555CF"/>
    <w:rsid w:val="00861A07"/>
    <w:rsid w:val="0086785B"/>
    <w:rsid w:val="0087224A"/>
    <w:rsid w:val="00872FA9"/>
    <w:rsid w:val="008872E3"/>
    <w:rsid w:val="0089036F"/>
    <w:rsid w:val="008E70F7"/>
    <w:rsid w:val="009014F0"/>
    <w:rsid w:val="00934C1C"/>
    <w:rsid w:val="009424AD"/>
    <w:rsid w:val="009C10A9"/>
    <w:rsid w:val="009E7621"/>
    <w:rsid w:val="009F7B8D"/>
    <w:rsid w:val="00A214A7"/>
    <w:rsid w:val="00A24A5D"/>
    <w:rsid w:val="00A54B97"/>
    <w:rsid w:val="00A64902"/>
    <w:rsid w:val="00AB5E37"/>
    <w:rsid w:val="00AC2EC1"/>
    <w:rsid w:val="00AE64F8"/>
    <w:rsid w:val="00B222C7"/>
    <w:rsid w:val="00B8470F"/>
    <w:rsid w:val="00BD7C1A"/>
    <w:rsid w:val="00BE6B27"/>
    <w:rsid w:val="00C510F1"/>
    <w:rsid w:val="00C52385"/>
    <w:rsid w:val="00C608C8"/>
    <w:rsid w:val="00C80BB2"/>
    <w:rsid w:val="00CB0AAE"/>
    <w:rsid w:val="00CD4BA9"/>
    <w:rsid w:val="00CD7A62"/>
    <w:rsid w:val="00D5374F"/>
    <w:rsid w:val="00D97CC6"/>
    <w:rsid w:val="00DA0CC6"/>
    <w:rsid w:val="00E82E2C"/>
    <w:rsid w:val="00EC7715"/>
    <w:rsid w:val="00EE50AD"/>
    <w:rsid w:val="00F27277"/>
    <w:rsid w:val="00F50FB3"/>
    <w:rsid w:val="00F515FE"/>
    <w:rsid w:val="00F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4C091"/>
  <w15:chartTrackingRefBased/>
  <w15:docId w15:val="{437EB66B-3DBE-49C3-AD7A-51737A4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  <w:rsid w:val="00614FE3"/>
    <w:pPr>
      <w:spacing w:after="240" w:line="240" w:lineRule="atLeast"/>
    </w:pPr>
    <w:rPr>
      <w:rFonts w:ascii="Georgia" w:hAnsi="Georgia"/>
      <w:sz w:val="20"/>
      <w:szCs w:val="20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t-line-clampline">
    <w:name w:val="lt-line-clamp__line"/>
    <w:basedOn w:val="Standardnpsmoodstavce"/>
    <w:rsid w:val="00861A07"/>
  </w:style>
  <w:style w:type="character" w:styleId="Hypertextovodkaz">
    <w:name w:val="Hyperlink"/>
    <w:basedOn w:val="Standardnpsmoodstavce"/>
    <w:uiPriority w:val="99"/>
    <w:unhideWhenUsed/>
    <w:rsid w:val="00F844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44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34FA"/>
    <w:rPr>
      <w:rFonts w:ascii="Georgia" w:hAnsi="Georgia"/>
      <w:sz w:val="20"/>
      <w:szCs w:val="20"/>
      <w:lang w:val="pl-PL"/>
    </w:rPr>
  </w:style>
  <w:style w:type="paragraph" w:styleId="Zpat">
    <w:name w:val="footer"/>
    <w:basedOn w:val="Normln"/>
    <w:link w:val="Zpat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FA"/>
    <w:rPr>
      <w:rFonts w:ascii="Georgia" w:hAnsi="Georgia"/>
      <w:sz w:val="20"/>
      <w:szCs w:val="20"/>
      <w:lang w:val="pl-PL"/>
    </w:rPr>
  </w:style>
  <w:style w:type="paragraph" w:styleId="Zkladntext">
    <w:name w:val="Body Text"/>
    <w:basedOn w:val="Normln"/>
    <w:link w:val="ZkladntextChar"/>
    <w:semiHidden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sk-SK"/>
    </w:rPr>
  </w:style>
  <w:style w:type="character" w:customStyle="1" w:styleId="ZkladntextChar">
    <w:name w:val="Základní text Char"/>
    <w:basedOn w:val="Standardnpsmoodstavce"/>
    <w:link w:val="Zkladntext"/>
    <w:semiHidden/>
    <w:rsid w:val="001834FA"/>
    <w:rPr>
      <w:rFonts w:ascii="Arial" w:eastAsia="Times New Roman" w:hAnsi="Arial" w:cs="Arial"/>
      <w:noProof/>
      <w:snapToGrid w:val="0"/>
      <w:sz w:val="20"/>
      <w:szCs w:val="20"/>
      <w:lang w:val="sk-SK"/>
    </w:rPr>
  </w:style>
  <w:style w:type="paragraph" w:styleId="Textkomente">
    <w:name w:val="annotation text"/>
    <w:basedOn w:val="Normln"/>
    <w:link w:val="TextkomenteChar"/>
    <w:uiPriority w:val="99"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34FA"/>
    <w:rPr>
      <w:rFonts w:ascii="Arial" w:eastAsia="Times New Roman" w:hAnsi="Arial" w:cs="Arial"/>
      <w:noProof/>
      <w:snapToGrid w:val="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429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982"/>
    <w:pPr>
      <w:spacing w:afterLines="0" w:after="240" w:line="240" w:lineRule="auto"/>
      <w:jc w:val="left"/>
    </w:pPr>
    <w:rPr>
      <w:rFonts w:ascii="Georgia" w:eastAsiaTheme="minorHAnsi" w:hAnsi="Georgia" w:cstheme="minorBidi"/>
      <w:b/>
      <w:bCs/>
      <w:noProof w:val="0"/>
      <w:snapToGrid/>
      <w:lang w:val="pl-P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982"/>
    <w:rPr>
      <w:rFonts w:ascii="Georgia" w:eastAsia="Times New Roman" w:hAnsi="Georgia" w:cs="Arial"/>
      <w:b/>
      <w:bCs/>
      <w:noProof/>
      <w:snapToGrid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982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34E1-60BE-405C-8CC6-3F1E47EA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Drab</dc:creator>
  <cp:keywords/>
  <dc:description/>
  <cp:lastModifiedBy>Šárka</cp:lastModifiedBy>
  <cp:revision>2</cp:revision>
  <cp:lastPrinted>2019-06-18T11:56:00Z</cp:lastPrinted>
  <dcterms:created xsi:type="dcterms:W3CDTF">2019-06-19T11:29:00Z</dcterms:created>
  <dcterms:modified xsi:type="dcterms:W3CDTF">2019-06-19T11:29:00Z</dcterms:modified>
</cp:coreProperties>
</file>