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596A7" w14:textId="77777777" w:rsidR="004C7BDF" w:rsidRDefault="004C7BDF" w:rsidP="00713EFE">
      <w:pPr>
        <w:pStyle w:val="Zkladntext"/>
        <w:spacing w:after="192"/>
        <w:jc w:val="left"/>
        <w:rPr>
          <w:sz w:val="28"/>
          <w:szCs w:val="28"/>
          <w:lang w:val="cs-CZ"/>
        </w:rPr>
      </w:pPr>
    </w:p>
    <w:p w14:paraId="5E914062" w14:textId="54EF7A0A" w:rsidR="002132CC" w:rsidRPr="00BA736B" w:rsidRDefault="002132CC" w:rsidP="00713EFE">
      <w:pPr>
        <w:pStyle w:val="Zkladntext"/>
        <w:spacing w:after="192"/>
        <w:jc w:val="left"/>
        <w:rPr>
          <w:sz w:val="28"/>
          <w:szCs w:val="28"/>
          <w:lang w:val="cs-CZ"/>
        </w:rPr>
      </w:pPr>
      <w:r w:rsidRPr="00BA736B">
        <w:rPr>
          <w:sz w:val="28"/>
          <w:szCs w:val="28"/>
          <w:lang w:val="cs-CZ"/>
        </w:rPr>
        <w:t>TISKOVÁ ZPRÁVA</w:t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="0090209A">
        <w:rPr>
          <w:sz w:val="28"/>
          <w:szCs w:val="28"/>
          <w:lang w:val="cs-CZ"/>
        </w:rPr>
        <w:t>9</w:t>
      </w:r>
      <w:r w:rsidR="0098607C">
        <w:rPr>
          <w:sz w:val="28"/>
          <w:szCs w:val="28"/>
          <w:lang w:val="cs-CZ"/>
        </w:rPr>
        <w:t xml:space="preserve">. </w:t>
      </w:r>
      <w:r w:rsidR="0090209A">
        <w:rPr>
          <w:sz w:val="28"/>
          <w:szCs w:val="28"/>
          <w:lang w:val="cs-CZ"/>
        </w:rPr>
        <w:t>12</w:t>
      </w:r>
      <w:r w:rsidR="0098607C">
        <w:rPr>
          <w:sz w:val="28"/>
          <w:szCs w:val="28"/>
          <w:lang w:val="cs-CZ"/>
        </w:rPr>
        <w:t>. 2020</w:t>
      </w:r>
    </w:p>
    <w:p w14:paraId="7EBE69EC" w14:textId="6C07EAF8" w:rsidR="007C1B47" w:rsidRPr="00FF2E55" w:rsidRDefault="004C6806" w:rsidP="007C1B47">
      <w:pPr>
        <w:spacing w:before="280" w:after="192"/>
        <w:rPr>
          <w:b/>
          <w:bCs/>
          <w:sz w:val="24"/>
          <w:szCs w:val="24"/>
        </w:rPr>
      </w:pPr>
      <w:r w:rsidRPr="00FF2E55">
        <w:rPr>
          <w:b/>
          <w:bCs/>
          <w:sz w:val="24"/>
          <w:szCs w:val="24"/>
        </w:rPr>
        <w:t>Každá čtvrtá firma</w:t>
      </w:r>
      <w:r w:rsidR="007C1B47" w:rsidRPr="00FF2E55">
        <w:rPr>
          <w:b/>
          <w:bCs/>
          <w:sz w:val="24"/>
          <w:szCs w:val="24"/>
        </w:rPr>
        <w:t xml:space="preserve"> řeší při migraci do cloudu nečekané komplikace</w:t>
      </w:r>
    </w:p>
    <w:p w14:paraId="19D70BA8" w14:textId="2A05854B" w:rsidR="00F914FB" w:rsidRPr="00FF2E55" w:rsidRDefault="007C1B47" w:rsidP="007C1B47">
      <w:pPr>
        <w:spacing w:before="280" w:after="192"/>
        <w:rPr>
          <w:b/>
          <w:bCs/>
        </w:rPr>
      </w:pPr>
      <w:r w:rsidRPr="00FF2E55">
        <w:rPr>
          <w:b/>
          <w:bCs/>
        </w:rPr>
        <w:t>V</w:t>
      </w:r>
      <w:r w:rsidR="00F914FB" w:rsidRPr="00FF2E55">
        <w:rPr>
          <w:b/>
          <w:bCs/>
        </w:rPr>
        <w:t xml:space="preserve">ětšina společností se stále snaží pochopit, jak plně zhodnotit své investice do cloudu, </w:t>
      </w:r>
      <w:r w:rsidR="004C6806" w:rsidRPr="00FF2E55">
        <w:rPr>
          <w:b/>
          <w:bCs/>
        </w:rPr>
        <w:t>říká</w:t>
      </w:r>
      <w:r w:rsidR="00F914FB" w:rsidRPr="00FF2E55">
        <w:rPr>
          <w:b/>
          <w:bCs/>
        </w:rPr>
        <w:t xml:space="preserve"> nov</w:t>
      </w:r>
      <w:r w:rsidR="004C6806" w:rsidRPr="00FF2E55">
        <w:rPr>
          <w:b/>
          <w:bCs/>
        </w:rPr>
        <w:t>ý</w:t>
      </w:r>
      <w:r w:rsidR="00F914FB" w:rsidRPr="00FF2E55">
        <w:rPr>
          <w:b/>
          <w:bCs/>
        </w:rPr>
        <w:t xml:space="preserve"> průzkum společnosti Accenture.</w:t>
      </w:r>
    </w:p>
    <w:p w14:paraId="598C4AB9" w14:textId="25DDC600" w:rsidR="00F914FB" w:rsidRPr="00E02E40" w:rsidRDefault="004C6806" w:rsidP="00F914FB">
      <w:pPr>
        <w:spacing w:afterLines="160" w:after="384"/>
      </w:pPr>
      <w:r w:rsidRPr="00FF2E55">
        <w:t>Jen 37 % firem se domnívá, že plně dosáhli toho, co očekávali od investic do cloudových technologií. To je jen o pouhá 2 % více než v roce 2018, kdy byl tento průzkum proveden poprvé. K takovým závěrům došla n</w:t>
      </w:r>
      <w:r w:rsidR="00F914FB" w:rsidRPr="00FF2E55">
        <w:t>ejnovější zpráv</w:t>
      </w:r>
      <w:r w:rsidRPr="00FF2E55">
        <w:t>a</w:t>
      </w:r>
      <w:r w:rsidR="00F914FB" w:rsidRPr="00FF2E55">
        <w:t xml:space="preserve"> </w:t>
      </w:r>
      <w:r w:rsidRPr="00FF2E55">
        <w:t xml:space="preserve">společnosti Accenture </w:t>
      </w:r>
      <w:r w:rsidR="00F914FB" w:rsidRPr="00FF2E55">
        <w:t>„</w:t>
      </w:r>
      <w:hyperlink r:id="rId8" w:history="1">
        <w:r w:rsidR="00F914FB" w:rsidRPr="00FF2E55">
          <w:rPr>
            <w:rStyle w:val="Hypertextovodkaz"/>
          </w:rPr>
          <w:t>Sky High Hopes: Navigating the Barriers to Maximizing Cloud Value</w:t>
        </w:r>
      </w:hyperlink>
      <w:r w:rsidR="00F914FB" w:rsidRPr="00FF2E55">
        <w:t>“ (Navigace ke zdolávání bariér v maximalizaci přínosu cloudu)</w:t>
      </w:r>
      <w:r w:rsidRPr="00FF2E55">
        <w:t>. Ta</w:t>
      </w:r>
      <w:r w:rsidR="007C1B47" w:rsidRPr="00FF2E55">
        <w:t xml:space="preserve"> shrnuje výsledky průzkumu, který </w:t>
      </w:r>
      <w:r w:rsidR="00F914FB" w:rsidRPr="00FF2E55">
        <w:t>provedl</w:t>
      </w:r>
      <w:r w:rsidR="007C1B47" w:rsidRPr="00FF2E55">
        <w:t xml:space="preserve">a </w:t>
      </w:r>
      <w:r w:rsidR="00F914FB" w:rsidRPr="00335E6F">
        <w:t xml:space="preserve">u 750 vedoucích obchodních a IT odborníků </w:t>
      </w:r>
      <w:r w:rsidR="007C1B47" w:rsidRPr="00335E6F">
        <w:t xml:space="preserve">z </w:t>
      </w:r>
      <w:r w:rsidR="00F914FB" w:rsidRPr="00335E6F">
        <w:t>velkých podni</w:t>
      </w:r>
      <w:r w:rsidR="007C1B47" w:rsidRPr="00335E6F">
        <w:t>ků</w:t>
      </w:r>
      <w:r w:rsidR="00F914FB" w:rsidRPr="00335E6F">
        <w:t xml:space="preserve"> v 11 průmyslových odvětvích a 17 zemí</w:t>
      </w:r>
      <w:r w:rsidR="0014441F">
        <w:t>ch</w:t>
      </w:r>
      <w:r w:rsidR="00F914FB" w:rsidRPr="00E02E40">
        <w:t xml:space="preserve">. </w:t>
      </w:r>
    </w:p>
    <w:p w14:paraId="3092CC9D" w14:textId="0229A7E1" w:rsidR="00F914FB" w:rsidRPr="00F914FB" w:rsidRDefault="00F914FB" w:rsidP="00F914FB">
      <w:pPr>
        <w:spacing w:afterLines="160" w:after="384"/>
      </w:pPr>
      <w:r w:rsidRPr="0097329B">
        <w:t>Pouze 45 % respondentů z řad vedoucích obchodu a IT uvedlo, že, že jsou velmi spokojeni s přínosy cloudu, což je jen 1% nárůst oproti roku 2018. O tom, že jejich migrace do cloudu přinese očekávanou hodnotu v předpokládaném čase</w:t>
      </w:r>
      <w:r w:rsidR="0090209A">
        <w:t>,</w:t>
      </w:r>
      <w:r w:rsidRPr="0097329B">
        <w:t xml:space="preserve"> je přesvědčeno 29 % z odpovídajících.</w:t>
      </w:r>
      <w:r w:rsidR="007C1B47" w:rsidRPr="0097329B">
        <w:t xml:space="preserve"> </w:t>
      </w:r>
      <w:r w:rsidRPr="0097329B">
        <w:t>Zpráva Accenture zdůrazňuje, že firmy, které se v oblasti cloudu angažovaly více, mají výrazně lepší výsledky. Z vysoce angažovaných hlásí 46 % plné dosažení výhod, které jim cloud měl přinést, z méně angažovaných dosáhlo kýžených výsledků 36 % a u poslední nejméně zainteresované skupiny je to 28 %.</w:t>
      </w:r>
    </w:p>
    <w:p w14:paraId="7316891F" w14:textId="05796A82" w:rsidR="00596877" w:rsidRPr="0090209A" w:rsidRDefault="005C3C04" w:rsidP="007A6B3B">
      <w:pPr>
        <w:spacing w:afterLines="160" w:after="384"/>
        <w:rPr>
          <w:highlight w:val="yellow"/>
          <w:lang w:val="en-US"/>
        </w:rPr>
      </w:pPr>
      <w:r w:rsidRPr="00FF2E55">
        <w:t>„</w:t>
      </w:r>
      <w:r w:rsidRPr="0090209A">
        <w:rPr>
          <w:lang w:val="en-US"/>
        </w:rPr>
        <w:t xml:space="preserve">Firmy chápou, že s cloudovými technologiemi a službami získávají nejen rychlost a agilitu pro řešení svých byznysových výzev, ale že jim </w:t>
      </w:r>
      <w:r w:rsidR="0090209A" w:rsidRPr="0090209A">
        <w:rPr>
          <w:lang w:val="en-US"/>
        </w:rPr>
        <w:t xml:space="preserve">také </w:t>
      </w:r>
      <w:r w:rsidRPr="0090209A">
        <w:rPr>
          <w:lang w:val="en-US"/>
        </w:rPr>
        <w:t>pomáhají realizovat transformační změny přinášející nové příležitosti a hodnoty</w:t>
      </w:r>
      <w:r w:rsidR="0014441F">
        <w:rPr>
          <w:lang w:val="en-US"/>
        </w:rPr>
        <w:t>,</w:t>
      </w:r>
      <w:r w:rsidRPr="0090209A">
        <w:t>“</w:t>
      </w:r>
      <w:r w:rsidR="009A4060" w:rsidRPr="0090209A">
        <w:t xml:space="preserve"> říká Martin Trčka, Senior Manager z Accenture ČR</w:t>
      </w:r>
      <w:r w:rsidR="00F914FB" w:rsidRPr="0090209A">
        <w:t xml:space="preserve">. </w:t>
      </w:r>
      <w:r w:rsidR="0090209A">
        <w:t>„</w:t>
      </w:r>
      <w:r w:rsidR="00F914FB" w:rsidRPr="0090209A">
        <w:t xml:space="preserve">Podle zprávy 80% </w:t>
      </w:r>
      <w:r w:rsidRPr="0090209A">
        <w:t xml:space="preserve">výkonných </w:t>
      </w:r>
      <w:r w:rsidR="00F914FB" w:rsidRPr="0090209A">
        <w:t xml:space="preserve">manažerů nyní pohlíží na cloud jako na prostředek pro zmírnění nejistoty a snižování rizik. </w:t>
      </w:r>
      <w:r w:rsidR="0090209A">
        <w:rPr>
          <w:lang w:val="en-US"/>
        </w:rPr>
        <w:t>Navíc</w:t>
      </w:r>
      <w:r w:rsidR="00596877" w:rsidRPr="0090209A">
        <w:rPr>
          <w:lang w:val="en-US"/>
        </w:rPr>
        <w:t xml:space="preserve"> 87</w:t>
      </w:r>
      <w:r w:rsidR="0090209A" w:rsidRPr="0090209A">
        <w:rPr>
          <w:lang w:val="en-US"/>
        </w:rPr>
        <w:t> </w:t>
      </w:r>
      <w:r w:rsidR="00596877" w:rsidRPr="0090209A">
        <w:rPr>
          <w:lang w:val="en-US"/>
        </w:rPr>
        <w:t xml:space="preserve">% manažerů vnímá cloud jako důležitou </w:t>
      </w:r>
      <w:r w:rsidR="0090209A">
        <w:rPr>
          <w:lang w:val="en-US"/>
        </w:rPr>
        <w:t>součást</w:t>
      </w:r>
      <w:r w:rsidR="00596877" w:rsidRPr="0090209A">
        <w:rPr>
          <w:lang w:val="en-US"/>
        </w:rPr>
        <w:t xml:space="preserve"> jejich strategie k dosažení firemních cílů udržitelnosti.</w:t>
      </w:r>
      <w:r w:rsidR="0090209A" w:rsidRPr="0090209A">
        <w:rPr>
          <w:lang w:val="en-US"/>
        </w:rPr>
        <w:t>”</w:t>
      </w:r>
    </w:p>
    <w:p w14:paraId="40FC9A2B" w14:textId="427678BC" w:rsidR="00F914FB" w:rsidRPr="00F914FB" w:rsidRDefault="00F914FB" w:rsidP="00F914FB">
      <w:pPr>
        <w:spacing w:afterLines="160" w:after="384"/>
      </w:pPr>
      <w:r w:rsidRPr="00FF2E55">
        <w:t xml:space="preserve">„Transformace založená na cloudu nabízí firmám ideální cestu k redefinici </w:t>
      </w:r>
      <w:r w:rsidR="007C1B47" w:rsidRPr="00FF2E55">
        <w:t>jejich</w:t>
      </w:r>
      <w:r w:rsidRPr="00FF2E55">
        <w:t xml:space="preserve"> podnikání, která uvolňuje kreativitu a odbornost zaměstnanců, </w:t>
      </w:r>
      <w:r w:rsidR="0014441F">
        <w:t>p</w:t>
      </w:r>
      <w:r w:rsidRPr="00FF2E55">
        <w:t>odporuje úsilí o udržitelnost a vytváří nové příležitosti a</w:t>
      </w:r>
      <w:r w:rsidR="00305D0C" w:rsidRPr="00FF2E55">
        <w:t> </w:t>
      </w:r>
      <w:r w:rsidRPr="00FF2E55">
        <w:t xml:space="preserve">hodnoty,“ </w:t>
      </w:r>
      <w:r w:rsidR="004C6806" w:rsidRPr="00FF2E55">
        <w:t xml:space="preserve">říká </w:t>
      </w:r>
      <w:r w:rsidR="009A4060" w:rsidRPr="00FF2E55">
        <w:t xml:space="preserve">Karthik Narain, člen vedení Accenture Cloud First. </w:t>
      </w:r>
      <w:r w:rsidRPr="00FF2E55">
        <w:t xml:space="preserve">„Ale ve skutečnosti nedokáže </w:t>
      </w:r>
      <w:r w:rsidR="007C1B47" w:rsidRPr="00FF2E55">
        <w:t>mnoho společností</w:t>
      </w:r>
      <w:r w:rsidRPr="00FF2E55">
        <w:t xml:space="preserve"> uvolnit plný potenciál cloudových technologií. Naše nejnovější zpráva poukazuje na překvapivě malý pokrok ve využití přínosů cloudových technologií v posledních dvou letech. Aby firmy v době covidu uspěly v konkurenci, měly by implementovat</w:t>
      </w:r>
      <w:r w:rsidR="00FC7649" w:rsidRPr="00FF2E55">
        <w:t xml:space="preserve"> tzv.</w:t>
      </w:r>
      <w:r w:rsidRPr="00FF2E55">
        <w:t xml:space="preserve"> cloud-first strategi</w:t>
      </w:r>
      <w:r w:rsidR="004A76EB" w:rsidRPr="00FF2E55">
        <w:t>i</w:t>
      </w:r>
      <w:r w:rsidRPr="00FF2E55">
        <w:t>, v rámci které každý prvek jejich činnosti využije přednosti cloudu, a to neprodleně</w:t>
      </w:r>
      <w:r w:rsidR="009A4060" w:rsidRPr="00FF2E55">
        <w:t>,</w:t>
      </w:r>
      <w:r w:rsidRPr="00FF2E55">
        <w:t>“</w:t>
      </w:r>
      <w:r w:rsidR="009A4060" w:rsidRPr="00FF2E55">
        <w:t xml:space="preserve"> dodává.</w:t>
      </w:r>
      <w:r w:rsidR="009A4060" w:rsidRPr="009A4060">
        <w:t xml:space="preserve"> </w:t>
      </w:r>
    </w:p>
    <w:p w14:paraId="788CD465" w14:textId="101B77C5" w:rsidR="00F914FB" w:rsidRPr="00F914FB" w:rsidRDefault="00F914FB" w:rsidP="00F914FB">
      <w:pPr>
        <w:spacing w:afterLines="160" w:after="384"/>
      </w:pPr>
      <w:r w:rsidRPr="00F914FB">
        <w:t>Průzkum se zaměřil také na to, co může firmy brzdit v řízení cloudové agend</w:t>
      </w:r>
      <w:r w:rsidR="007C1B47">
        <w:t>y</w:t>
      </w:r>
      <w:r w:rsidRPr="00F914FB">
        <w:t xml:space="preserve"> a bránit </w:t>
      </w:r>
      <w:r w:rsidR="007C1B47">
        <w:t xml:space="preserve">jim </w:t>
      </w:r>
      <w:r w:rsidRPr="00F914FB">
        <w:t>dosažení cílů. Jako nejčastější překážku (v 54 %) uváděli CEO „nedostatek dovedností“. Z pohledu všech respondentů dominovala „</w:t>
      </w:r>
      <w:r w:rsidR="0090209A">
        <w:t>b</w:t>
      </w:r>
      <w:r w:rsidRPr="00F914FB">
        <w:t xml:space="preserve">ezpečnost a </w:t>
      </w:r>
      <w:r w:rsidR="0090209A">
        <w:t>c</w:t>
      </w:r>
      <w:r w:rsidR="00CB14B9">
        <w:t>ompliance</w:t>
      </w:r>
      <w:r w:rsidR="00CB14B9" w:rsidRPr="00F914FB">
        <w:t xml:space="preserve"> </w:t>
      </w:r>
      <w:r w:rsidRPr="00F914FB">
        <w:t>rizik</w:t>
      </w:r>
      <w:r w:rsidR="00CB14B9">
        <w:t>a</w:t>
      </w:r>
      <w:r w:rsidRPr="00F914FB">
        <w:t>“ (46 %), následované problémy</w:t>
      </w:r>
      <w:r w:rsidR="0090209A">
        <w:t xml:space="preserve">, </w:t>
      </w:r>
      <w:r w:rsidRPr="00F914FB">
        <w:t>„</w:t>
      </w:r>
      <w:r w:rsidR="0090209A">
        <w:t>l</w:t>
      </w:r>
      <w:r w:rsidR="00E77E35">
        <w:t>egacy</w:t>
      </w:r>
      <w:r w:rsidR="00E77E35" w:rsidRPr="00F914FB">
        <w:t xml:space="preserve"> </w:t>
      </w:r>
      <w:r w:rsidRPr="00F914FB">
        <w:t>infrastruktur</w:t>
      </w:r>
      <w:r w:rsidR="00E77E35">
        <w:t>a</w:t>
      </w:r>
      <w:r w:rsidRPr="00F914FB">
        <w:t xml:space="preserve"> a</w:t>
      </w:r>
      <w:r w:rsidR="00305D0C">
        <w:t> </w:t>
      </w:r>
      <w:r w:rsidR="00E77E35">
        <w:t>roztříštěnost</w:t>
      </w:r>
      <w:r w:rsidR="00E77E35" w:rsidRPr="00F914FB">
        <w:t xml:space="preserve"> </w:t>
      </w:r>
      <w:r w:rsidRPr="00F914FB">
        <w:t>aplikac</w:t>
      </w:r>
      <w:r w:rsidR="00E77E35">
        <w:t>í</w:t>
      </w:r>
      <w:r w:rsidRPr="00F914FB">
        <w:t>“ a „</w:t>
      </w:r>
      <w:r w:rsidR="00E77E35">
        <w:t>nesoulad mezi IT a byznysem</w:t>
      </w:r>
      <w:r w:rsidRPr="00F914FB">
        <w:t>“ (</w:t>
      </w:r>
      <w:r w:rsidR="00E77E35">
        <w:t xml:space="preserve">oba </w:t>
      </w:r>
      <w:r w:rsidRPr="00F914FB">
        <w:t>40 %). Tyto výsledky ukazují, že generální ředitelé mají výrazně odlišné dojmy z přínosů a nástrah cloudu než výkonní manažeři a další lidé s rozhodovací pravomocí. 54 % generálních ředitelů je naprosto přesvědčeno o schopnosti jejich organizací těžit z cloudových iniciativ očekávané hodnoty v očekávaném čase</w:t>
      </w:r>
      <w:r w:rsidR="00E77E35">
        <w:t xml:space="preserve"> (oproti </w:t>
      </w:r>
      <w:r w:rsidRPr="00F914FB">
        <w:t>34 % CI</w:t>
      </w:r>
      <w:r w:rsidR="00E77E35">
        <w:t>O</w:t>
      </w:r>
      <w:r w:rsidRPr="00F914FB">
        <w:t xml:space="preserve"> a 28 % CFO</w:t>
      </w:r>
      <w:r w:rsidR="00E77E35">
        <w:t>).</w:t>
      </w:r>
    </w:p>
    <w:p w14:paraId="6BFA3767" w14:textId="66F76FF6" w:rsidR="00F914FB" w:rsidRPr="00F914FB" w:rsidRDefault="00F914FB" w:rsidP="00E77E35">
      <w:pPr>
        <w:spacing w:afterLines="160" w:after="384"/>
      </w:pPr>
      <w:r w:rsidRPr="0090209A">
        <w:lastRenderedPageBreak/>
        <w:t>„</w:t>
      </w:r>
      <w:r w:rsidR="00E77E35" w:rsidRPr="0090209A">
        <w:t>Z našeho průzkumu vyplývá, že úspěšně dotažené cloudové migrace</w:t>
      </w:r>
      <w:r w:rsidR="0014441F">
        <w:t>,</w:t>
      </w:r>
      <w:r w:rsidR="00E77E35" w:rsidRPr="0090209A">
        <w:t xml:space="preserve"> přinášející skutečné b</w:t>
      </w:r>
      <w:r w:rsidR="0014441F">
        <w:t>y</w:t>
      </w:r>
      <w:r w:rsidR="00E77E35" w:rsidRPr="0090209A">
        <w:t>znysové výhody, jsou velmi komplexními programy. Dobrou zprávou je, že pokud je tento program zaštítěn rigorózní, na výsledky orientovanou a na míru ušitou cloudovou strategií, podpořen partnerstvím s</w:t>
      </w:r>
      <w:r w:rsidR="0090209A" w:rsidRPr="0090209A">
        <w:t> </w:t>
      </w:r>
      <w:r w:rsidR="00E77E35" w:rsidRPr="0090209A">
        <w:t>cloudovými experty a pokud dokáže adresovat i netechnologické výzvy adopce cloudových technologií (např. zvyšování kvalifikace vlastních zaměstnanců), pak organizace dosáhne požadovaných cílů a návratnosti investice samotné.</w:t>
      </w:r>
      <w:r w:rsidRPr="0090209A">
        <w:t xml:space="preserve">“ dodává </w:t>
      </w:r>
      <w:r w:rsidR="00F75D49" w:rsidRPr="0090209A">
        <w:t xml:space="preserve">Martin </w:t>
      </w:r>
      <w:r w:rsidR="007C1B47" w:rsidRPr="0090209A">
        <w:t>Trčka</w:t>
      </w:r>
      <w:r w:rsidRPr="0090209A">
        <w:t>.</w:t>
      </w:r>
    </w:p>
    <w:p w14:paraId="355FA5D3" w14:textId="74C2D29D" w:rsidR="00F914FB" w:rsidRPr="00F914FB" w:rsidRDefault="00F75D49" w:rsidP="00F914FB">
      <w:pPr>
        <w:spacing w:afterLines="160" w:after="384"/>
      </w:pPr>
      <w:r>
        <w:t>Pro plné využití</w:t>
      </w:r>
      <w:r w:rsidR="00F914FB" w:rsidRPr="00F914FB">
        <w:t xml:space="preserve"> možnost</w:t>
      </w:r>
      <w:r>
        <w:t>í</w:t>
      </w:r>
      <w:r w:rsidR="00D958A9">
        <w:t xml:space="preserve">, jež </w:t>
      </w:r>
      <w:r w:rsidR="00F914FB" w:rsidRPr="00F914FB">
        <w:t>cloudov</w:t>
      </w:r>
      <w:r w:rsidR="00D958A9">
        <w:t>é</w:t>
      </w:r>
      <w:r w:rsidR="00F914FB" w:rsidRPr="00F914FB">
        <w:t xml:space="preserve"> technologi</w:t>
      </w:r>
      <w:r w:rsidR="00D958A9">
        <w:t>e nabízí,</w:t>
      </w:r>
      <w:r w:rsidR="00F914FB" w:rsidRPr="00F914FB">
        <w:t xml:space="preserve"> Accenture doporučuje přijetí nových přístupů k práci, nových provozních modelů a rozvíjení nových rolí a dovedností. Podniky by se měly </w:t>
      </w:r>
      <w:r w:rsidR="0014441F">
        <w:t>koncentrovat</w:t>
      </w:r>
      <w:r w:rsidR="00F914FB" w:rsidRPr="00F914FB">
        <w:t xml:space="preserve"> na tyto čtyři klíčové oblasti:</w:t>
      </w:r>
    </w:p>
    <w:p w14:paraId="3169727C" w14:textId="53CD9B70" w:rsidR="00F914FB" w:rsidRPr="00F914FB" w:rsidRDefault="00F914FB" w:rsidP="00F914FB">
      <w:pPr>
        <w:numPr>
          <w:ilvl w:val="0"/>
          <w:numId w:val="29"/>
        </w:numPr>
        <w:tabs>
          <w:tab w:val="num" w:pos="0"/>
        </w:tabs>
        <w:spacing w:afterLines="160" w:after="384"/>
      </w:pPr>
      <w:r w:rsidRPr="00F914FB">
        <w:rPr>
          <w:b/>
          <w:bCs/>
        </w:rPr>
        <w:t>Zaměření na obchodní hodnotu</w:t>
      </w:r>
      <w:r w:rsidRPr="00F914FB">
        <w:t>: optimální je rozvíjet cloud strategii založenou na komplexních ekonomických obchodních případech</w:t>
      </w:r>
      <w:r w:rsidR="00FF2E55">
        <w:t xml:space="preserve"> a</w:t>
      </w:r>
      <w:r w:rsidRPr="00F914FB">
        <w:t xml:space="preserve"> na identifikaci možností růstu příjmů a</w:t>
      </w:r>
      <w:r w:rsidR="00305D0C">
        <w:t> </w:t>
      </w:r>
      <w:r w:rsidRPr="00F914FB">
        <w:t>efektivity nákladů. Nezbytné je sladění cílů a získání vedení firmy na svou stranu.</w:t>
      </w:r>
    </w:p>
    <w:p w14:paraId="3559C8ED" w14:textId="0BCC6413" w:rsidR="00F914FB" w:rsidRPr="00F914FB" w:rsidRDefault="00F914FB" w:rsidP="00F914FB">
      <w:pPr>
        <w:numPr>
          <w:ilvl w:val="0"/>
          <w:numId w:val="29"/>
        </w:numPr>
        <w:tabs>
          <w:tab w:val="num" w:pos="0"/>
        </w:tabs>
        <w:spacing w:afterLines="160" w:after="384"/>
      </w:pPr>
      <w:r w:rsidRPr="00F914FB">
        <w:rPr>
          <w:b/>
          <w:bCs/>
        </w:rPr>
        <w:t>Změna firemní kultury a vedení lidí</w:t>
      </w:r>
      <w:r w:rsidRPr="00F914FB">
        <w:t>: realizace nových programů pro zvyšování kvalifikace a</w:t>
      </w:r>
      <w:r w:rsidR="00F75D49">
        <w:t> </w:t>
      </w:r>
      <w:r w:rsidRPr="00F914FB">
        <w:t>rozvoj talentů, spolu s novými operačními modely, které pomohou změnit to, jak lidé pracují, s cílem lépe vyhovět měnícím se potřebám.</w:t>
      </w:r>
    </w:p>
    <w:p w14:paraId="507E09AF" w14:textId="7C369794" w:rsidR="00F914FB" w:rsidRPr="00F914FB" w:rsidRDefault="00F914FB" w:rsidP="00F914FB">
      <w:pPr>
        <w:numPr>
          <w:ilvl w:val="0"/>
          <w:numId w:val="29"/>
        </w:numPr>
        <w:tabs>
          <w:tab w:val="num" w:pos="0"/>
        </w:tabs>
        <w:spacing w:afterLines="160" w:after="384"/>
      </w:pPr>
      <w:r w:rsidRPr="00F914FB">
        <w:rPr>
          <w:b/>
          <w:bCs/>
        </w:rPr>
        <w:t>Data a AI</w:t>
      </w:r>
      <w:r w:rsidRPr="00F914FB">
        <w:t>: otevření nových oborových a funkčně specifických na datech založených vhledů a</w:t>
      </w:r>
      <w:r w:rsidR="00305D0C">
        <w:t> </w:t>
      </w:r>
      <w:r w:rsidRPr="00F914FB">
        <w:t>uvolnění inteligence svázané staršími systémy pomocí cloudových datových modelů.</w:t>
      </w:r>
    </w:p>
    <w:p w14:paraId="0E465365" w14:textId="45A74A16" w:rsidR="00F914FB" w:rsidRPr="00F914FB" w:rsidRDefault="00F914FB" w:rsidP="00F914FB">
      <w:pPr>
        <w:numPr>
          <w:ilvl w:val="0"/>
          <w:numId w:val="29"/>
        </w:numPr>
        <w:tabs>
          <w:tab w:val="num" w:pos="0"/>
        </w:tabs>
        <w:spacing w:afterLines="160" w:after="384"/>
      </w:pPr>
      <w:r w:rsidRPr="00F914FB">
        <w:rPr>
          <w:b/>
          <w:bCs/>
        </w:rPr>
        <w:t>Partnerství pro úspěch</w:t>
      </w:r>
      <w:r w:rsidRPr="00F914FB">
        <w:t>: využití dovednosti a zkušenosti strategických partnerů a jejich rozšíření mezi vlastní pracovníky. Cloudové služby jsou dobrou volbou pro firmy, které chtějí získat přístup k těm správným dovednostem, a zároveň udržet efektiv</w:t>
      </w:r>
      <w:r w:rsidR="00F75D49">
        <w:t>itu</w:t>
      </w:r>
      <w:r w:rsidRPr="00F914FB">
        <w:t xml:space="preserve"> náklad</w:t>
      </w:r>
      <w:r w:rsidR="00F75D49">
        <w:t>ů</w:t>
      </w:r>
      <w:r w:rsidRPr="00F914FB">
        <w:t>.</w:t>
      </w:r>
    </w:p>
    <w:p w14:paraId="5596FAD3" w14:textId="77777777" w:rsidR="009E5CD8" w:rsidRDefault="009E5CD8" w:rsidP="00580DDA">
      <w:pPr>
        <w:spacing w:after="192"/>
        <w:rPr>
          <w:b/>
          <w:bCs/>
        </w:rPr>
      </w:pPr>
    </w:p>
    <w:p w14:paraId="45198B19" w14:textId="77777777" w:rsidR="009E5CD8" w:rsidRDefault="009E5CD8" w:rsidP="00580DDA">
      <w:pPr>
        <w:spacing w:after="192"/>
        <w:rPr>
          <w:b/>
          <w:bCs/>
        </w:rPr>
      </w:pPr>
    </w:p>
    <w:p w14:paraId="6FC324D9" w14:textId="1C21507D" w:rsidR="00580DDA" w:rsidRPr="00580DDA" w:rsidRDefault="00580DDA" w:rsidP="00580DDA">
      <w:pPr>
        <w:spacing w:after="192"/>
      </w:pPr>
      <w:r w:rsidRPr="00580DDA">
        <w:rPr>
          <w:b/>
          <w:bCs/>
        </w:rPr>
        <w:t>O společnosti Accenture</w:t>
      </w:r>
    </w:p>
    <w:p w14:paraId="2C6980FC" w14:textId="3E1631FF" w:rsidR="00580DDA" w:rsidRPr="00580DDA" w:rsidRDefault="00580DDA" w:rsidP="00580DDA">
      <w:pPr>
        <w:spacing w:after="192"/>
      </w:pPr>
      <w:r w:rsidRPr="00580DDA">
        <w:t>Accenture je globální společnost poskytující profesionální služby v</w:t>
      </w:r>
      <w:r>
        <w:t xml:space="preserve"> oblasti digitalizace, cloudu a </w:t>
      </w:r>
      <w:r w:rsidRPr="00580DDA">
        <w:t>kybernetické bezpečnosti. Díky propojení zkušeností a specializovaných dovedností ve více než 40 průmyslových odvětvích nabízíme služby v oblastech poradenství &amp; strateg</w:t>
      </w:r>
      <w:r>
        <w:t xml:space="preserve">ie, Interactive, Technology a </w:t>
      </w:r>
      <w:r w:rsidRPr="00580DDA">
        <w:t>Operations – a to díky podp</w:t>
      </w:r>
      <w:r>
        <w:t>oř</w:t>
      </w:r>
      <w:r w:rsidRPr="00580DDA">
        <w:t>e největší celosvětové sítě Advanced Technology a Intelligent Operations center. Našich 506 000 zaměstnanců využívá možnosti nejnovějších technologií i lidské vynalézavosti v práci pro klienty ve více než 120 zemích. D</w:t>
      </w:r>
      <w:r>
        <w:t>íky síle změn vytváříme hodnoty a zv</w:t>
      </w:r>
      <w:r w:rsidRPr="00580DDA">
        <w:t>yšujeme úspěšnost našich klientů, lidí, akcionářů, partnerů i celé společnosti. Navštivte nás na </w:t>
      </w:r>
      <w:hyperlink r:id="rId9" w:tgtFrame="_blank" w:history="1">
        <w:r w:rsidRPr="00580DDA">
          <w:rPr>
            <w:rStyle w:val="Hypertextovodkaz"/>
          </w:rPr>
          <w:t>www.accenture.com</w:t>
        </w:r>
      </w:hyperlink>
      <w:r w:rsidR="00BA5C4A">
        <w:rPr>
          <w:rStyle w:val="Hypertextovodkaz"/>
        </w:rPr>
        <w:t>,</w:t>
      </w:r>
    </w:p>
    <w:p w14:paraId="6686099A" w14:textId="77777777" w:rsidR="00D66599" w:rsidRDefault="00D66599" w:rsidP="0098607C">
      <w:pPr>
        <w:pStyle w:val="Bezmezer"/>
        <w:spacing w:after="192"/>
      </w:pPr>
    </w:p>
    <w:p w14:paraId="3F2B52C7" w14:textId="77777777" w:rsidR="00D66599" w:rsidRPr="00A86815" w:rsidRDefault="00D66599" w:rsidP="00787C24">
      <w:pPr>
        <w:spacing w:before="120" w:after="192"/>
        <w:contextualSpacing/>
        <w:jc w:val="left"/>
        <w:sectPr w:rsidR="00D66599" w:rsidRPr="00A86815" w:rsidSect="00616E3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/>
          <w:pgMar w:top="1701" w:right="1418" w:bottom="1418" w:left="1418" w:header="709" w:footer="709" w:gutter="0"/>
          <w:cols w:space="708"/>
        </w:sectPr>
      </w:pPr>
      <w:r w:rsidRPr="00BA736B">
        <w:rPr>
          <w:b/>
          <w:bCs/>
        </w:rPr>
        <w:t>Kontakt</w:t>
      </w:r>
      <w:r w:rsidRPr="00BA736B">
        <w:rPr>
          <w:b/>
        </w:rPr>
        <w:t xml:space="preserve"> pro média:</w:t>
      </w:r>
      <w:r w:rsidRPr="00BA736B">
        <w:t xml:space="preserve"> </w:t>
      </w:r>
      <w:r>
        <w:tab/>
      </w:r>
      <w:r w:rsidRPr="00BA736B">
        <w:t xml:space="preserve">Petr Jarkovský, </w:t>
      </w:r>
      <w:hyperlink r:id="rId16" w:history="1">
        <w:r w:rsidRPr="00BA736B">
          <w:rPr>
            <w:rStyle w:val="Hypertextovodkaz"/>
          </w:rPr>
          <w:t>petr.jarkovsky@aspen.pr</w:t>
        </w:r>
      </w:hyperlink>
      <w:r w:rsidRPr="00BA736B">
        <w:t>, 774 225</w:t>
      </w:r>
      <w:r>
        <w:t> </w:t>
      </w:r>
      <w:r w:rsidRPr="00BA736B">
        <w:t>153</w:t>
      </w:r>
    </w:p>
    <w:p w14:paraId="7C138377" w14:textId="69A76D2A" w:rsidR="000663DE" w:rsidRDefault="00D66599" w:rsidP="0098607C">
      <w:pPr>
        <w:pStyle w:val="Textkomente"/>
        <w:spacing w:after="192"/>
        <w:contextualSpacing/>
      </w:pPr>
      <w:r>
        <w:tab/>
      </w:r>
      <w:r>
        <w:tab/>
      </w:r>
      <w:r>
        <w:tab/>
        <w:t xml:space="preserve">Markéta Ciňková, </w:t>
      </w:r>
      <w:hyperlink r:id="rId17" w:history="1">
        <w:r w:rsidRPr="002A5EED">
          <w:rPr>
            <w:rStyle w:val="Hypertextovodkaz"/>
          </w:rPr>
          <w:t>marketa.cinkova@aspen.pr</w:t>
        </w:r>
      </w:hyperlink>
      <w:r>
        <w:t>, 724 012</w:t>
      </w:r>
      <w:r w:rsidR="005C26A1">
        <w:t> </w:t>
      </w:r>
      <w:r>
        <w:t>612</w:t>
      </w:r>
    </w:p>
    <w:sectPr w:rsidR="000663DE" w:rsidSect="003006BF">
      <w:headerReference w:type="default" r:id="rId18"/>
      <w:type w:val="continuous"/>
      <w:pgSz w:w="11907" w:h="16840"/>
      <w:pgMar w:top="170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4DE47" w14:textId="77777777" w:rsidR="00B410AC" w:rsidRDefault="00B410AC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74D3DBD3" w14:textId="77777777" w:rsidR="00B410AC" w:rsidRDefault="00B410AC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89A99" w14:textId="77777777" w:rsidR="004C7BDF" w:rsidRDefault="004C7BDF">
    <w:pPr>
      <w:pStyle w:val="Zpat"/>
      <w:spacing w:after="19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F4CAA" w14:textId="77777777" w:rsidR="004C7BDF" w:rsidRDefault="004C7BDF">
    <w:pPr>
      <w:pStyle w:val="Zpat"/>
      <w:spacing w:after="19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FEE74" w14:textId="77777777" w:rsidR="004C7BDF" w:rsidRDefault="004C7BDF">
    <w:pPr>
      <w:pStyle w:val="Zpat"/>
      <w:spacing w:after="1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82F9A" w14:textId="77777777" w:rsidR="00B410AC" w:rsidRDefault="00B410AC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66AE0DC5" w14:textId="77777777" w:rsidR="00B410AC" w:rsidRDefault="00B410AC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D5FE6" w14:textId="77777777" w:rsidR="004C7BDF" w:rsidRDefault="004C7BDF">
    <w:pPr>
      <w:pStyle w:val="Zhlav"/>
      <w:spacing w:after="19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06DBD" w14:textId="7C9724B0" w:rsidR="00D66599" w:rsidRDefault="00F914FB">
    <w:pPr>
      <w:pStyle w:val="Zhlav"/>
      <w:spacing w:after="192"/>
      <w:rPr>
        <w:rFonts w:ascii="Times New Roman" w:hAnsi="Times New Roman"/>
      </w:rPr>
    </w:pPr>
    <w:r w:rsidRPr="00125943">
      <w:rPr>
        <w:rFonts w:ascii="Times New Roman" w:hAnsi="Times New Roman"/>
        <w:snapToGrid/>
        <w:lang w:eastAsia="cs-CZ"/>
      </w:rPr>
      <w:drawing>
        <wp:inline distT="0" distB="0" distL="0" distR="0" wp14:anchorId="04C5A15C" wp14:editId="17A3A900">
          <wp:extent cx="1957705" cy="52324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7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51706" w14:textId="77777777" w:rsidR="004C7BDF" w:rsidRDefault="004C7BDF">
    <w:pPr>
      <w:pStyle w:val="Zhlav"/>
      <w:spacing w:after="19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43" w:type="dxa"/>
      <w:tblBorders>
        <w:top w:val="dotted" w:sz="4" w:space="0" w:color="FFFFFF"/>
        <w:left w:val="dotted" w:sz="4" w:space="0" w:color="FFFFFF"/>
        <w:bottom w:val="dotted" w:sz="4" w:space="0" w:color="FFFFFF"/>
        <w:right w:val="dotted" w:sz="4" w:space="0" w:color="FFFFFF"/>
        <w:insideV w:val="dotted" w:sz="4" w:space="0" w:color="FFFFFF"/>
      </w:tblBorders>
      <w:tblLayout w:type="fixed"/>
      <w:tblLook w:val="0000" w:firstRow="0" w:lastRow="0" w:firstColumn="0" w:lastColumn="0" w:noHBand="0" w:noVBand="0"/>
    </w:tblPr>
    <w:tblGrid>
      <w:gridCol w:w="5973"/>
      <w:gridCol w:w="4870"/>
    </w:tblGrid>
    <w:tr w:rsidR="002132CC" w14:paraId="5001EBA2" w14:textId="77777777" w:rsidTr="00DF79C4">
      <w:trPr>
        <w:trHeight w:val="1979"/>
      </w:trPr>
      <w:tc>
        <w:tcPr>
          <w:tcW w:w="5973" w:type="dxa"/>
        </w:tcPr>
        <w:p w14:paraId="2A7BD4E0" w14:textId="648C1FE7" w:rsidR="002132CC" w:rsidRDefault="00F914FB">
          <w:pPr>
            <w:pStyle w:val="Zhlav"/>
            <w:spacing w:before="60" w:after="192"/>
            <w:rPr>
              <w:rFonts w:ascii="Times New Roman" w:hAnsi="Times New Roman"/>
            </w:rPr>
          </w:pPr>
          <w:r>
            <w:drawing>
              <wp:anchor distT="0" distB="0" distL="114300" distR="114300" simplePos="0" relativeHeight="251657728" behindDoc="1" locked="0" layoutInCell="1" allowOverlap="1" wp14:anchorId="2CCBFDF2" wp14:editId="0577EB57">
                <wp:simplePos x="0" y="0"/>
                <wp:positionH relativeFrom="column">
                  <wp:posOffset>-2463165</wp:posOffset>
                </wp:positionH>
                <wp:positionV relativeFrom="paragraph">
                  <wp:posOffset>635</wp:posOffset>
                </wp:positionV>
                <wp:extent cx="2187575" cy="1038225"/>
                <wp:effectExtent l="0" t="0" r="0" b="0"/>
                <wp:wrapTight wrapText="bothSides">
                  <wp:wrapPolygon edited="0">
                    <wp:start x="0" y="396"/>
                    <wp:lineTo x="0" y="21402"/>
                    <wp:lineTo x="21443" y="21402"/>
                    <wp:lineTo x="21443" y="396"/>
                    <wp:lineTo x="0" y="396"/>
                  </wp:wrapPolygon>
                </wp:wrapTight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68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5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0" w:type="dxa"/>
        </w:tcPr>
        <w:p w14:paraId="6BA264CD" w14:textId="77777777" w:rsidR="002132CC" w:rsidRPr="000663DE" w:rsidRDefault="002132CC" w:rsidP="000663DE">
          <w:pPr>
            <w:spacing w:after="192"/>
          </w:pPr>
        </w:p>
      </w:tc>
    </w:tr>
  </w:tbl>
  <w:p w14:paraId="74B973B3" w14:textId="77777777" w:rsidR="002132CC" w:rsidRDefault="002132CC">
    <w:pPr>
      <w:pStyle w:val="Zhlav"/>
      <w:spacing w:after="192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28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B5C7C89"/>
    <w:multiLevelType w:val="hybridMultilevel"/>
    <w:tmpl w:val="D6AC0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C9437FF"/>
    <w:multiLevelType w:val="hybridMultilevel"/>
    <w:tmpl w:val="0DD2990E"/>
    <w:lvl w:ilvl="0" w:tplc="FB7C63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D9C5ADB"/>
    <w:multiLevelType w:val="hybridMultilevel"/>
    <w:tmpl w:val="315E28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65901E4"/>
    <w:multiLevelType w:val="hybridMultilevel"/>
    <w:tmpl w:val="21762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C202BBE"/>
    <w:multiLevelType w:val="hybridMultilevel"/>
    <w:tmpl w:val="86143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EE5719"/>
    <w:multiLevelType w:val="hybridMultilevel"/>
    <w:tmpl w:val="3266E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1C3335C"/>
    <w:multiLevelType w:val="hybridMultilevel"/>
    <w:tmpl w:val="C6482AFA"/>
    <w:lvl w:ilvl="0" w:tplc="B65C9F1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47F91"/>
    <w:multiLevelType w:val="hybridMultilevel"/>
    <w:tmpl w:val="6E4CC458"/>
    <w:lvl w:ilvl="0" w:tplc="E708D6E4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715195"/>
    <w:multiLevelType w:val="hybridMultilevel"/>
    <w:tmpl w:val="0E1E1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73235F5"/>
    <w:multiLevelType w:val="hybridMultilevel"/>
    <w:tmpl w:val="7A3E3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26F4EC9"/>
    <w:multiLevelType w:val="hybridMultilevel"/>
    <w:tmpl w:val="A1DAAB3E"/>
    <w:lvl w:ilvl="0" w:tplc="C83ACB8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F29D8"/>
    <w:multiLevelType w:val="hybridMultilevel"/>
    <w:tmpl w:val="14045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487579BC"/>
    <w:multiLevelType w:val="hybridMultilevel"/>
    <w:tmpl w:val="5B82F634"/>
    <w:lvl w:ilvl="0" w:tplc="E31679F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B4243"/>
    <w:multiLevelType w:val="multilevel"/>
    <w:tmpl w:val="67DCD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87794E"/>
    <w:multiLevelType w:val="hybridMultilevel"/>
    <w:tmpl w:val="CD3C2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3673F3B"/>
    <w:multiLevelType w:val="hybridMultilevel"/>
    <w:tmpl w:val="0AF6C7FE"/>
    <w:lvl w:ilvl="0" w:tplc="E708D6E4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439383B"/>
    <w:multiLevelType w:val="hybridMultilevel"/>
    <w:tmpl w:val="CEEE00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C52C16"/>
    <w:multiLevelType w:val="hybridMultilevel"/>
    <w:tmpl w:val="A91896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DB27CB"/>
    <w:multiLevelType w:val="hybridMultilevel"/>
    <w:tmpl w:val="9D541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6D9F4862"/>
    <w:multiLevelType w:val="hybridMultilevel"/>
    <w:tmpl w:val="21482852"/>
    <w:lvl w:ilvl="0" w:tplc="C83ACB8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B114E"/>
    <w:multiLevelType w:val="hybridMultilevel"/>
    <w:tmpl w:val="9E9C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2A14917"/>
    <w:multiLevelType w:val="hybridMultilevel"/>
    <w:tmpl w:val="8E70FA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9C1B8C"/>
    <w:multiLevelType w:val="hybridMultilevel"/>
    <w:tmpl w:val="7FEE4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34846"/>
    <w:multiLevelType w:val="hybridMultilevel"/>
    <w:tmpl w:val="BEF07810"/>
    <w:lvl w:ilvl="0" w:tplc="DFB60D2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A2541D3"/>
    <w:multiLevelType w:val="multilevel"/>
    <w:tmpl w:val="DC46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26" w15:restartNumberingAfterBreak="0">
    <w:nsid w:val="7BC51731"/>
    <w:multiLevelType w:val="hybridMultilevel"/>
    <w:tmpl w:val="D1EAA5C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E792F41"/>
    <w:multiLevelType w:val="hybridMultilevel"/>
    <w:tmpl w:val="EC50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7EAB47C8"/>
    <w:multiLevelType w:val="hybridMultilevel"/>
    <w:tmpl w:val="F238E1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5"/>
  </w:num>
  <w:num w:numId="5">
    <w:abstractNumId w:val="27"/>
  </w:num>
  <w:num w:numId="6">
    <w:abstractNumId w:val="15"/>
  </w:num>
  <w:num w:numId="7">
    <w:abstractNumId w:val="21"/>
  </w:num>
  <w:num w:numId="8">
    <w:abstractNumId w:val="2"/>
  </w:num>
  <w:num w:numId="9">
    <w:abstractNumId w:val="6"/>
  </w:num>
  <w:num w:numId="10">
    <w:abstractNumId w:val="8"/>
  </w:num>
  <w:num w:numId="11">
    <w:abstractNumId w:val="16"/>
  </w:num>
  <w:num w:numId="12">
    <w:abstractNumId w:val="3"/>
  </w:num>
  <w:num w:numId="13">
    <w:abstractNumId w:val="12"/>
  </w:num>
  <w:num w:numId="14">
    <w:abstractNumId w:val="19"/>
  </w:num>
  <w:num w:numId="15">
    <w:abstractNumId w:val="11"/>
  </w:num>
  <w:num w:numId="16">
    <w:abstractNumId w:val="20"/>
  </w:num>
  <w:num w:numId="17">
    <w:abstractNumId w:val="28"/>
  </w:num>
  <w:num w:numId="18">
    <w:abstractNumId w:val="22"/>
  </w:num>
  <w:num w:numId="19">
    <w:abstractNumId w:val="9"/>
  </w:num>
  <w:num w:numId="20">
    <w:abstractNumId w:val="4"/>
  </w:num>
  <w:num w:numId="21">
    <w:abstractNumId w:val="24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3"/>
  </w:num>
  <w:num w:numId="27">
    <w:abstractNumId w:val="13"/>
  </w:num>
  <w:num w:numId="28">
    <w:abstractNumId w:val="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FB"/>
    <w:rsid w:val="00005A52"/>
    <w:rsid w:val="0001016D"/>
    <w:rsid w:val="000119F8"/>
    <w:rsid w:val="000122DE"/>
    <w:rsid w:val="00026482"/>
    <w:rsid w:val="00034A97"/>
    <w:rsid w:val="00034DB3"/>
    <w:rsid w:val="000375AA"/>
    <w:rsid w:val="0004309F"/>
    <w:rsid w:val="0005224D"/>
    <w:rsid w:val="000527AC"/>
    <w:rsid w:val="00061C08"/>
    <w:rsid w:val="000663DE"/>
    <w:rsid w:val="00066556"/>
    <w:rsid w:val="0006690C"/>
    <w:rsid w:val="000708F2"/>
    <w:rsid w:val="00070907"/>
    <w:rsid w:val="00073E74"/>
    <w:rsid w:val="0007787D"/>
    <w:rsid w:val="000821E4"/>
    <w:rsid w:val="000846E5"/>
    <w:rsid w:val="00092DFC"/>
    <w:rsid w:val="00092F45"/>
    <w:rsid w:val="000A05A5"/>
    <w:rsid w:val="000B475C"/>
    <w:rsid w:val="000C501B"/>
    <w:rsid w:val="000D1D63"/>
    <w:rsid w:val="000D3AC2"/>
    <w:rsid w:val="000E3AD3"/>
    <w:rsid w:val="000E3F65"/>
    <w:rsid w:val="000F3931"/>
    <w:rsid w:val="000F7D6A"/>
    <w:rsid w:val="00100DCD"/>
    <w:rsid w:val="00107B0D"/>
    <w:rsid w:val="00125401"/>
    <w:rsid w:val="00125943"/>
    <w:rsid w:val="00125AEE"/>
    <w:rsid w:val="0014441F"/>
    <w:rsid w:val="001463BF"/>
    <w:rsid w:val="0014684C"/>
    <w:rsid w:val="001549CA"/>
    <w:rsid w:val="00174639"/>
    <w:rsid w:val="001803EE"/>
    <w:rsid w:val="00185E7C"/>
    <w:rsid w:val="001868DD"/>
    <w:rsid w:val="00186DB7"/>
    <w:rsid w:val="001915BE"/>
    <w:rsid w:val="001A061E"/>
    <w:rsid w:val="001B7A37"/>
    <w:rsid w:val="001C1C98"/>
    <w:rsid w:val="001C2741"/>
    <w:rsid w:val="001C41BE"/>
    <w:rsid w:val="001D7D32"/>
    <w:rsid w:val="001E0846"/>
    <w:rsid w:val="001E1A53"/>
    <w:rsid w:val="001E4305"/>
    <w:rsid w:val="001F0038"/>
    <w:rsid w:val="001F30F1"/>
    <w:rsid w:val="001F5441"/>
    <w:rsid w:val="00210AFE"/>
    <w:rsid w:val="00210B93"/>
    <w:rsid w:val="00212994"/>
    <w:rsid w:val="002132CC"/>
    <w:rsid w:val="00223E1A"/>
    <w:rsid w:val="00224586"/>
    <w:rsid w:val="00231C89"/>
    <w:rsid w:val="00234D4D"/>
    <w:rsid w:val="0024187D"/>
    <w:rsid w:val="002759A0"/>
    <w:rsid w:val="002875E9"/>
    <w:rsid w:val="002A2892"/>
    <w:rsid w:val="002A2F3E"/>
    <w:rsid w:val="002B05E0"/>
    <w:rsid w:val="002B562E"/>
    <w:rsid w:val="002C0038"/>
    <w:rsid w:val="002C67CC"/>
    <w:rsid w:val="002D122C"/>
    <w:rsid w:val="002E3B38"/>
    <w:rsid w:val="002F3064"/>
    <w:rsid w:val="002F468B"/>
    <w:rsid w:val="002F72C2"/>
    <w:rsid w:val="003006BF"/>
    <w:rsid w:val="003029A1"/>
    <w:rsid w:val="00305D0C"/>
    <w:rsid w:val="00310085"/>
    <w:rsid w:val="003108FE"/>
    <w:rsid w:val="00313724"/>
    <w:rsid w:val="00314ECB"/>
    <w:rsid w:val="0031614D"/>
    <w:rsid w:val="00316355"/>
    <w:rsid w:val="003166C8"/>
    <w:rsid w:val="00327977"/>
    <w:rsid w:val="003310F4"/>
    <w:rsid w:val="00335E6F"/>
    <w:rsid w:val="0034134C"/>
    <w:rsid w:val="0034259A"/>
    <w:rsid w:val="0034282F"/>
    <w:rsid w:val="00343AB3"/>
    <w:rsid w:val="003519C9"/>
    <w:rsid w:val="003651F5"/>
    <w:rsid w:val="003804FD"/>
    <w:rsid w:val="00382303"/>
    <w:rsid w:val="00382DA7"/>
    <w:rsid w:val="003932D0"/>
    <w:rsid w:val="003958FD"/>
    <w:rsid w:val="003A4094"/>
    <w:rsid w:val="003B5DB7"/>
    <w:rsid w:val="003B78DA"/>
    <w:rsid w:val="003C1F9B"/>
    <w:rsid w:val="003C4A8A"/>
    <w:rsid w:val="003D19ED"/>
    <w:rsid w:val="003D4AE2"/>
    <w:rsid w:val="003E3ECB"/>
    <w:rsid w:val="003E49DC"/>
    <w:rsid w:val="003F14A7"/>
    <w:rsid w:val="003F6640"/>
    <w:rsid w:val="00410E19"/>
    <w:rsid w:val="0041445E"/>
    <w:rsid w:val="00415B38"/>
    <w:rsid w:val="004212F7"/>
    <w:rsid w:val="004245A2"/>
    <w:rsid w:val="00433E7D"/>
    <w:rsid w:val="00440F40"/>
    <w:rsid w:val="00442272"/>
    <w:rsid w:val="0044248F"/>
    <w:rsid w:val="00450DF8"/>
    <w:rsid w:val="00451765"/>
    <w:rsid w:val="00461978"/>
    <w:rsid w:val="00463E3F"/>
    <w:rsid w:val="00464C2F"/>
    <w:rsid w:val="00474BB9"/>
    <w:rsid w:val="0048653B"/>
    <w:rsid w:val="00493C10"/>
    <w:rsid w:val="00494934"/>
    <w:rsid w:val="004A182B"/>
    <w:rsid w:val="004A3316"/>
    <w:rsid w:val="004A76EB"/>
    <w:rsid w:val="004B32A8"/>
    <w:rsid w:val="004B7512"/>
    <w:rsid w:val="004C2B93"/>
    <w:rsid w:val="004C6806"/>
    <w:rsid w:val="004C7BDF"/>
    <w:rsid w:val="004C7E02"/>
    <w:rsid w:val="004D0C87"/>
    <w:rsid w:val="004D32DB"/>
    <w:rsid w:val="004D59C5"/>
    <w:rsid w:val="0050096E"/>
    <w:rsid w:val="005048FC"/>
    <w:rsid w:val="005157C3"/>
    <w:rsid w:val="0051648E"/>
    <w:rsid w:val="00517F75"/>
    <w:rsid w:val="00525E1D"/>
    <w:rsid w:val="0053282A"/>
    <w:rsid w:val="0053301D"/>
    <w:rsid w:val="0053678C"/>
    <w:rsid w:val="0054204E"/>
    <w:rsid w:val="005463D0"/>
    <w:rsid w:val="00566664"/>
    <w:rsid w:val="00571D4A"/>
    <w:rsid w:val="005741FC"/>
    <w:rsid w:val="00577840"/>
    <w:rsid w:val="00580DDA"/>
    <w:rsid w:val="00581AC4"/>
    <w:rsid w:val="005823D5"/>
    <w:rsid w:val="0059263D"/>
    <w:rsid w:val="00596877"/>
    <w:rsid w:val="005B4EDE"/>
    <w:rsid w:val="005B6153"/>
    <w:rsid w:val="005B676E"/>
    <w:rsid w:val="005B7052"/>
    <w:rsid w:val="005B735B"/>
    <w:rsid w:val="005C1E8F"/>
    <w:rsid w:val="005C26A1"/>
    <w:rsid w:val="005C3C04"/>
    <w:rsid w:val="005C41D9"/>
    <w:rsid w:val="005D0C03"/>
    <w:rsid w:val="005D2C8C"/>
    <w:rsid w:val="005D392B"/>
    <w:rsid w:val="005F44C8"/>
    <w:rsid w:val="0060368E"/>
    <w:rsid w:val="0060696E"/>
    <w:rsid w:val="00612A5C"/>
    <w:rsid w:val="00613425"/>
    <w:rsid w:val="00616E37"/>
    <w:rsid w:val="00633490"/>
    <w:rsid w:val="00640955"/>
    <w:rsid w:val="006500D7"/>
    <w:rsid w:val="00651CD6"/>
    <w:rsid w:val="00655342"/>
    <w:rsid w:val="00660900"/>
    <w:rsid w:val="00661103"/>
    <w:rsid w:val="00662A0F"/>
    <w:rsid w:val="00666AF1"/>
    <w:rsid w:val="00667751"/>
    <w:rsid w:val="00672CDB"/>
    <w:rsid w:val="00674553"/>
    <w:rsid w:val="00681E6B"/>
    <w:rsid w:val="006839BB"/>
    <w:rsid w:val="00685961"/>
    <w:rsid w:val="00697FC6"/>
    <w:rsid w:val="006A4D8E"/>
    <w:rsid w:val="006B2D54"/>
    <w:rsid w:val="006C3FF5"/>
    <w:rsid w:val="006D5A48"/>
    <w:rsid w:val="006E016B"/>
    <w:rsid w:val="006F5A47"/>
    <w:rsid w:val="0070216E"/>
    <w:rsid w:val="00703A3E"/>
    <w:rsid w:val="00713EFE"/>
    <w:rsid w:val="00720F46"/>
    <w:rsid w:val="00733672"/>
    <w:rsid w:val="00735825"/>
    <w:rsid w:val="00753340"/>
    <w:rsid w:val="007559FD"/>
    <w:rsid w:val="007660CC"/>
    <w:rsid w:val="00776D8D"/>
    <w:rsid w:val="00777E73"/>
    <w:rsid w:val="0078187E"/>
    <w:rsid w:val="00782104"/>
    <w:rsid w:val="007847DF"/>
    <w:rsid w:val="00787C24"/>
    <w:rsid w:val="0079136B"/>
    <w:rsid w:val="0079153C"/>
    <w:rsid w:val="007A4AFF"/>
    <w:rsid w:val="007A590A"/>
    <w:rsid w:val="007A6B3B"/>
    <w:rsid w:val="007B3C66"/>
    <w:rsid w:val="007B7C38"/>
    <w:rsid w:val="007C0D0D"/>
    <w:rsid w:val="007C1B47"/>
    <w:rsid w:val="007D08D1"/>
    <w:rsid w:val="007D4188"/>
    <w:rsid w:val="007D4FAF"/>
    <w:rsid w:val="007E0077"/>
    <w:rsid w:val="007E25B9"/>
    <w:rsid w:val="007F419B"/>
    <w:rsid w:val="007F5F45"/>
    <w:rsid w:val="007F6515"/>
    <w:rsid w:val="00801E50"/>
    <w:rsid w:val="008020A7"/>
    <w:rsid w:val="00810E14"/>
    <w:rsid w:val="00817D7A"/>
    <w:rsid w:val="008442AF"/>
    <w:rsid w:val="00844D44"/>
    <w:rsid w:val="008457D0"/>
    <w:rsid w:val="00846865"/>
    <w:rsid w:val="00847987"/>
    <w:rsid w:val="00854BFC"/>
    <w:rsid w:val="008564D7"/>
    <w:rsid w:val="00865EC3"/>
    <w:rsid w:val="008665FF"/>
    <w:rsid w:val="0087244F"/>
    <w:rsid w:val="00876AC6"/>
    <w:rsid w:val="0088517B"/>
    <w:rsid w:val="0088633E"/>
    <w:rsid w:val="008922A1"/>
    <w:rsid w:val="008B5093"/>
    <w:rsid w:val="008B64FA"/>
    <w:rsid w:val="008C34B3"/>
    <w:rsid w:val="008C398E"/>
    <w:rsid w:val="008C3B28"/>
    <w:rsid w:val="008D0B84"/>
    <w:rsid w:val="008D12FA"/>
    <w:rsid w:val="008D461D"/>
    <w:rsid w:val="008E1EA2"/>
    <w:rsid w:val="008E4B4C"/>
    <w:rsid w:val="008E61FD"/>
    <w:rsid w:val="008F3660"/>
    <w:rsid w:val="0090115E"/>
    <w:rsid w:val="0090209A"/>
    <w:rsid w:val="0090612B"/>
    <w:rsid w:val="0092188C"/>
    <w:rsid w:val="00925253"/>
    <w:rsid w:val="00942A1F"/>
    <w:rsid w:val="009433AE"/>
    <w:rsid w:val="00962A17"/>
    <w:rsid w:val="0097329B"/>
    <w:rsid w:val="00984B5E"/>
    <w:rsid w:val="009853AF"/>
    <w:rsid w:val="0098607C"/>
    <w:rsid w:val="00992C20"/>
    <w:rsid w:val="00992F2A"/>
    <w:rsid w:val="0099792E"/>
    <w:rsid w:val="009A4060"/>
    <w:rsid w:val="009B2629"/>
    <w:rsid w:val="009B41EC"/>
    <w:rsid w:val="009C0BB4"/>
    <w:rsid w:val="009C3377"/>
    <w:rsid w:val="009D62C4"/>
    <w:rsid w:val="009E5CD8"/>
    <w:rsid w:val="009E7511"/>
    <w:rsid w:val="00A126B8"/>
    <w:rsid w:val="00A156DA"/>
    <w:rsid w:val="00A16BDB"/>
    <w:rsid w:val="00A26E92"/>
    <w:rsid w:val="00A324B9"/>
    <w:rsid w:val="00A40D6C"/>
    <w:rsid w:val="00A42DC3"/>
    <w:rsid w:val="00A45E03"/>
    <w:rsid w:val="00A500AF"/>
    <w:rsid w:val="00A5296F"/>
    <w:rsid w:val="00A67F1E"/>
    <w:rsid w:val="00A72EF6"/>
    <w:rsid w:val="00A77EB0"/>
    <w:rsid w:val="00A77F31"/>
    <w:rsid w:val="00A81931"/>
    <w:rsid w:val="00A95AAA"/>
    <w:rsid w:val="00AA3F5A"/>
    <w:rsid w:val="00AB787A"/>
    <w:rsid w:val="00AC014F"/>
    <w:rsid w:val="00AC2772"/>
    <w:rsid w:val="00AC5D48"/>
    <w:rsid w:val="00AD26A1"/>
    <w:rsid w:val="00AE3569"/>
    <w:rsid w:val="00AE56BF"/>
    <w:rsid w:val="00AE5B9B"/>
    <w:rsid w:val="00AF5768"/>
    <w:rsid w:val="00AF6DFA"/>
    <w:rsid w:val="00B034D1"/>
    <w:rsid w:val="00B156D9"/>
    <w:rsid w:val="00B16B80"/>
    <w:rsid w:val="00B220C4"/>
    <w:rsid w:val="00B24D4A"/>
    <w:rsid w:val="00B254C3"/>
    <w:rsid w:val="00B26524"/>
    <w:rsid w:val="00B3064F"/>
    <w:rsid w:val="00B30F2A"/>
    <w:rsid w:val="00B327C2"/>
    <w:rsid w:val="00B33559"/>
    <w:rsid w:val="00B35830"/>
    <w:rsid w:val="00B3702C"/>
    <w:rsid w:val="00B410AC"/>
    <w:rsid w:val="00B454F4"/>
    <w:rsid w:val="00B475F6"/>
    <w:rsid w:val="00B5268D"/>
    <w:rsid w:val="00B55D2C"/>
    <w:rsid w:val="00B61B66"/>
    <w:rsid w:val="00B6279B"/>
    <w:rsid w:val="00B635F5"/>
    <w:rsid w:val="00B64E24"/>
    <w:rsid w:val="00B66465"/>
    <w:rsid w:val="00B67253"/>
    <w:rsid w:val="00B8300B"/>
    <w:rsid w:val="00B83B8B"/>
    <w:rsid w:val="00B86B7C"/>
    <w:rsid w:val="00B950E9"/>
    <w:rsid w:val="00B978DC"/>
    <w:rsid w:val="00B97EE2"/>
    <w:rsid w:val="00BA09C0"/>
    <w:rsid w:val="00BA5C4A"/>
    <w:rsid w:val="00BA72BB"/>
    <w:rsid w:val="00BA736B"/>
    <w:rsid w:val="00BA7F99"/>
    <w:rsid w:val="00BC4303"/>
    <w:rsid w:val="00BC63F0"/>
    <w:rsid w:val="00BD733C"/>
    <w:rsid w:val="00BE1514"/>
    <w:rsid w:val="00BE45E8"/>
    <w:rsid w:val="00BE5C40"/>
    <w:rsid w:val="00BE736C"/>
    <w:rsid w:val="00BF0D15"/>
    <w:rsid w:val="00BF601A"/>
    <w:rsid w:val="00C06C21"/>
    <w:rsid w:val="00C2195A"/>
    <w:rsid w:val="00C23C1A"/>
    <w:rsid w:val="00C2439B"/>
    <w:rsid w:val="00C3042F"/>
    <w:rsid w:val="00C31A52"/>
    <w:rsid w:val="00C33173"/>
    <w:rsid w:val="00C3508F"/>
    <w:rsid w:val="00C35658"/>
    <w:rsid w:val="00C41C41"/>
    <w:rsid w:val="00C42F7B"/>
    <w:rsid w:val="00C53CB4"/>
    <w:rsid w:val="00C66B21"/>
    <w:rsid w:val="00C92F1B"/>
    <w:rsid w:val="00C95CE1"/>
    <w:rsid w:val="00CB14B9"/>
    <w:rsid w:val="00CD22C0"/>
    <w:rsid w:val="00CF0D19"/>
    <w:rsid w:val="00CF39A6"/>
    <w:rsid w:val="00D04F98"/>
    <w:rsid w:val="00D12BB8"/>
    <w:rsid w:val="00D14097"/>
    <w:rsid w:val="00D14EFE"/>
    <w:rsid w:val="00D16390"/>
    <w:rsid w:val="00D20C8E"/>
    <w:rsid w:val="00D20D75"/>
    <w:rsid w:val="00D212BE"/>
    <w:rsid w:val="00D21A9E"/>
    <w:rsid w:val="00D23060"/>
    <w:rsid w:val="00D26B4A"/>
    <w:rsid w:val="00D309D6"/>
    <w:rsid w:val="00D33F68"/>
    <w:rsid w:val="00D41588"/>
    <w:rsid w:val="00D44611"/>
    <w:rsid w:val="00D66599"/>
    <w:rsid w:val="00D728F5"/>
    <w:rsid w:val="00D80FD4"/>
    <w:rsid w:val="00D8609A"/>
    <w:rsid w:val="00D9262C"/>
    <w:rsid w:val="00D958A9"/>
    <w:rsid w:val="00D972CF"/>
    <w:rsid w:val="00DA4099"/>
    <w:rsid w:val="00DA43F0"/>
    <w:rsid w:val="00DB4591"/>
    <w:rsid w:val="00DB4FCA"/>
    <w:rsid w:val="00DC2EC6"/>
    <w:rsid w:val="00DC783D"/>
    <w:rsid w:val="00DD0DE2"/>
    <w:rsid w:val="00DE184B"/>
    <w:rsid w:val="00DE7ED9"/>
    <w:rsid w:val="00DF1791"/>
    <w:rsid w:val="00DF2792"/>
    <w:rsid w:val="00DF2D45"/>
    <w:rsid w:val="00DF44B3"/>
    <w:rsid w:val="00DF79C4"/>
    <w:rsid w:val="00E01D5C"/>
    <w:rsid w:val="00E02E40"/>
    <w:rsid w:val="00E054D4"/>
    <w:rsid w:val="00E423B9"/>
    <w:rsid w:val="00E46C6E"/>
    <w:rsid w:val="00E51F5E"/>
    <w:rsid w:val="00E54FF3"/>
    <w:rsid w:val="00E56E1A"/>
    <w:rsid w:val="00E6730B"/>
    <w:rsid w:val="00E74AF4"/>
    <w:rsid w:val="00E7675B"/>
    <w:rsid w:val="00E77E35"/>
    <w:rsid w:val="00E83541"/>
    <w:rsid w:val="00E876C2"/>
    <w:rsid w:val="00EA4089"/>
    <w:rsid w:val="00EB4491"/>
    <w:rsid w:val="00EB5320"/>
    <w:rsid w:val="00EB7946"/>
    <w:rsid w:val="00EC0787"/>
    <w:rsid w:val="00ED4253"/>
    <w:rsid w:val="00EE5E52"/>
    <w:rsid w:val="00EF673D"/>
    <w:rsid w:val="00EF75C4"/>
    <w:rsid w:val="00F1157B"/>
    <w:rsid w:val="00F1466E"/>
    <w:rsid w:val="00F328B5"/>
    <w:rsid w:val="00F338D3"/>
    <w:rsid w:val="00F3502B"/>
    <w:rsid w:val="00F35891"/>
    <w:rsid w:val="00F4033F"/>
    <w:rsid w:val="00F415D6"/>
    <w:rsid w:val="00F564B7"/>
    <w:rsid w:val="00F61CF7"/>
    <w:rsid w:val="00F75D49"/>
    <w:rsid w:val="00F75E8B"/>
    <w:rsid w:val="00F8175D"/>
    <w:rsid w:val="00F81F5C"/>
    <w:rsid w:val="00F83032"/>
    <w:rsid w:val="00F85570"/>
    <w:rsid w:val="00F914FB"/>
    <w:rsid w:val="00FA2A77"/>
    <w:rsid w:val="00FB20A1"/>
    <w:rsid w:val="00FB3DE8"/>
    <w:rsid w:val="00FC206B"/>
    <w:rsid w:val="00FC588F"/>
    <w:rsid w:val="00FC7649"/>
    <w:rsid w:val="00FC799E"/>
    <w:rsid w:val="00FE21DA"/>
    <w:rsid w:val="00FF2D97"/>
    <w:rsid w:val="00FF2E55"/>
    <w:rsid w:val="00FF3930"/>
    <w:rsid w:val="00FF512A"/>
    <w:rsid w:val="00FF54C5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EEE68E"/>
  <w15:chartTrackingRefBased/>
  <w15:docId w15:val="{E0BA3836-61B1-4FEC-8CB8-E68BA51F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1E50"/>
    <w:pPr>
      <w:spacing w:afterLines="80" w:after="80" w:line="300" w:lineRule="auto"/>
      <w:jc w:val="both"/>
    </w:pPr>
    <w:rPr>
      <w:rFonts w:ascii="Arial" w:hAnsi="Arial" w:cs="Arial"/>
      <w:noProof/>
      <w:snapToGrid w:val="0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bCs/>
      <w:kern w:val="28"/>
      <w:sz w:val="28"/>
      <w:szCs w:val="28"/>
      <w:lang w:val="sk-SK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line="240" w:lineRule="atLeast"/>
      <w:outlineLvl w:val="2"/>
    </w:pPr>
    <w:rPr>
      <w:b/>
      <w:bCs/>
      <w:color w:val="000000"/>
      <w:lang w:val="en-GB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4"/>
      <w:lang w:val="en-GB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paragraph" w:customStyle="1" w:styleId="ABLOCKPARA">
    <w:name w:val="A BLOCK PARA"/>
    <w:basedOn w:val="Normln"/>
    <w:rPr>
      <w:lang w:val="sk-SK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semiHidden/>
    <w:rPr>
      <w:lang w:val="sk-SK"/>
    </w:rPr>
  </w:style>
  <w:style w:type="paragraph" w:customStyle="1" w:styleId="FormtovanvHTML1">
    <w:name w:val="Formátovaný v HTML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hAnsi="Times New Roman"/>
    </w:rPr>
  </w:style>
  <w:style w:type="paragraph" w:styleId="Zkladntextodsazen">
    <w:name w:val="Body Text Indent"/>
    <w:basedOn w:val="Normln"/>
    <w:semiHidden/>
    <w:rPr>
      <w:rFonts w:ascii="Times New Roman" w:hAnsi="Times New Roman"/>
      <w:sz w:val="24"/>
      <w:szCs w:val="24"/>
    </w:rPr>
  </w:style>
  <w:style w:type="character" w:customStyle="1" w:styleId="bod1">
    <w:name w:val="bod1"/>
    <w:rPr>
      <w:rFonts w:ascii="Arial" w:hAnsi="Arial" w:cs="Arial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18"/>
      <w:szCs w:val="18"/>
      <w:lang w:val="en-GB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Textbubliny1">
    <w:name w:val="Text bubliny1"/>
    <w:basedOn w:val="Normln"/>
    <w:rPr>
      <w:rFonts w:ascii="Times New Roman" w:hAnsi="Times New Roman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</w:style>
  <w:style w:type="paragraph" w:customStyle="1" w:styleId="Pedmtkomente1">
    <w:name w:val="Předmět komentáře1"/>
    <w:basedOn w:val="Textkomente"/>
    <w:next w:val="Textkomente"/>
    <w:rPr>
      <w:b/>
      <w:bCs/>
    </w:rPr>
  </w:style>
  <w:style w:type="paragraph" w:styleId="Prosttext">
    <w:name w:val="Plain Text"/>
    <w:basedOn w:val="Normln"/>
    <w:semiHidden/>
    <w:rPr>
      <w:rFonts w:ascii="Courier New" w:hAnsi="Courier New" w:cs="Courier New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</w:pPr>
    <w:rPr>
      <w:rFonts w:ascii="Calibri" w:hAnsi="Calibri"/>
    </w:rPr>
  </w:style>
  <w:style w:type="paragraph" w:customStyle="1" w:styleId="COVNormal">
    <w:name w:val="COV_Normal"/>
    <w:basedOn w:val="Normln"/>
    <w:pPr>
      <w:spacing w:before="120" w:after="120"/>
      <w:ind w:left="2279"/>
    </w:pPr>
  </w:style>
  <w:style w:type="paragraph" w:customStyle="1" w:styleId="default">
    <w:name w:val="default"/>
    <w:basedOn w:val="Normln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E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6E1A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0F40"/>
    <w:rPr>
      <w:b/>
      <w:bCs/>
    </w:rPr>
  </w:style>
  <w:style w:type="character" w:customStyle="1" w:styleId="TextkomenteChar">
    <w:name w:val="Text komentáře Char"/>
    <w:link w:val="Textkomente"/>
    <w:uiPriority w:val="99"/>
    <w:rsid w:val="00440F40"/>
    <w:rPr>
      <w:rFonts w:ascii="Book Antiqua" w:hAnsi="Book Antiqua"/>
      <w:snapToGrid w:val="0"/>
      <w:lang w:val="en-US" w:eastAsia="en-US"/>
    </w:rPr>
  </w:style>
  <w:style w:type="character" w:customStyle="1" w:styleId="PedmtkomenteChar">
    <w:name w:val="Předmět komentáře Char"/>
    <w:link w:val="Pedmtkomente"/>
    <w:rsid w:val="00440F40"/>
    <w:rPr>
      <w:rFonts w:ascii="Book Antiqua" w:hAnsi="Book Antiqua"/>
      <w:snapToGrid w:val="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B83B8B"/>
    <w:pPr>
      <w:ind w:left="720"/>
      <w:contextualSpacing/>
    </w:pPr>
  </w:style>
  <w:style w:type="paragraph" w:styleId="Revize">
    <w:name w:val="Revision"/>
    <w:hidden/>
    <w:uiPriority w:val="99"/>
    <w:semiHidden/>
    <w:rsid w:val="007660CC"/>
    <w:rPr>
      <w:rFonts w:ascii="Book Antiqua" w:hAnsi="Book Antiqua"/>
      <w:snapToGrid w:val="0"/>
      <w:sz w:val="22"/>
      <w:szCs w:val="22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DB3"/>
    <w:rPr>
      <w:rFonts w:ascii="Calibri" w:eastAsia="Calibri" w:hAnsi="Calibri"/>
      <w:snapToGrid/>
      <w:lang w:eastAsia="en-GB"/>
    </w:rPr>
  </w:style>
  <w:style w:type="character" w:customStyle="1" w:styleId="TextpoznpodarouChar">
    <w:name w:val="Text pozn. pod čarou Char"/>
    <w:link w:val="Textpoznpodarou"/>
    <w:uiPriority w:val="99"/>
    <w:rsid w:val="00034DB3"/>
    <w:rPr>
      <w:rFonts w:ascii="Calibri" w:eastAsia="Calibri" w:hAnsi="Calibri"/>
      <w:lang w:val="en-US" w:eastAsia="en-GB"/>
    </w:rPr>
  </w:style>
  <w:style w:type="character" w:styleId="Znakapoznpodarou">
    <w:name w:val="footnote reference"/>
    <w:uiPriority w:val="99"/>
    <w:semiHidden/>
    <w:unhideWhenUsed/>
    <w:rsid w:val="00034DB3"/>
    <w:rPr>
      <w:vertAlign w:val="superscript"/>
    </w:rPr>
  </w:style>
  <w:style w:type="character" w:customStyle="1" w:styleId="ZhlavChar">
    <w:name w:val="Záhlaví Char"/>
    <w:link w:val="Zhlav"/>
    <w:semiHidden/>
    <w:rsid w:val="003006BF"/>
    <w:rPr>
      <w:rFonts w:ascii="Book Antiqua" w:hAnsi="Book Antiqua"/>
      <w:snapToGrid w:val="0"/>
      <w:sz w:val="22"/>
      <w:szCs w:val="22"/>
      <w:lang w:val="en-US" w:eastAsia="en-US"/>
    </w:rPr>
  </w:style>
  <w:style w:type="paragraph" w:styleId="Bezmezer">
    <w:name w:val="No Spacing"/>
    <w:uiPriority w:val="1"/>
    <w:qFormat/>
    <w:rsid w:val="0098607C"/>
    <w:pPr>
      <w:spacing w:afterLines="80"/>
      <w:jc w:val="both"/>
    </w:pPr>
    <w:rPr>
      <w:rFonts w:ascii="Arial" w:hAnsi="Arial" w:cs="Arial"/>
      <w:noProof/>
      <w:snapToGrid w:val="0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F91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0147">
          <w:marLeft w:val="0"/>
          <w:marRight w:val="0"/>
          <w:marTop w:val="90"/>
          <w:marBottom w:val="75"/>
          <w:divBdr>
            <w:top w:val="dashed" w:sz="6" w:space="5" w:color="B2B2B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46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63532">
          <w:marLeft w:val="0"/>
          <w:marRight w:val="0"/>
          <w:marTop w:val="9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nture.com/us-en/Insights/technology/maximize-cloud-value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marketa.cinkova@aspen.p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tr.jarkovsky@aspen.p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centure.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&#233;ta%20Cinkov&#225;\Documents\Vlastn&#237;%20&#353;ablony%20Office\sablona%20TZ%20Accenture_10_202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05C5-4DEC-447F-8A62-2874F81E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TZ Accenture_10_2020</Template>
  <TotalTime>1</TotalTime>
  <Pages>2</Pages>
  <Words>869</Words>
  <Characters>5132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5990</CharactersWithSpaces>
  <SharedDoc>false</SharedDoc>
  <HLinks>
    <vt:vector size="18" baseType="variant">
      <vt:variant>
        <vt:i4>7667734</vt:i4>
      </vt:variant>
      <vt:variant>
        <vt:i4>6</vt:i4>
      </vt:variant>
      <vt:variant>
        <vt:i4>0</vt:i4>
      </vt:variant>
      <vt:variant>
        <vt:i4>5</vt:i4>
      </vt:variant>
      <vt:variant>
        <vt:lpwstr>mailto:marketa.cinkova@aspen.pr</vt:lpwstr>
      </vt:variant>
      <vt:variant>
        <vt:lpwstr/>
      </vt:variant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mailto:petr.jarkovsky@aspen.pr</vt:lpwstr>
      </vt:variant>
      <vt:variant>
        <vt:lpwstr/>
      </vt:variant>
      <vt:variant>
        <vt:i4>5832721</vt:i4>
      </vt:variant>
      <vt:variant>
        <vt:i4>0</vt:i4>
      </vt:variant>
      <vt:variant>
        <vt:i4>0</vt:i4>
      </vt:variant>
      <vt:variant>
        <vt:i4>5</vt:i4>
      </vt:variant>
      <vt:variant>
        <vt:lpwstr>http://www.accenture.com/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Cinková</dc:creator>
  <cp:keywords/>
  <cp:lastModifiedBy>Šárka</cp:lastModifiedBy>
  <cp:revision>2</cp:revision>
  <cp:lastPrinted>2004-08-03T08:51:00Z</cp:lastPrinted>
  <dcterms:created xsi:type="dcterms:W3CDTF">2020-12-15T20:32:00Z</dcterms:created>
  <dcterms:modified xsi:type="dcterms:W3CDTF">2020-12-15T20:32:00Z</dcterms:modified>
</cp:coreProperties>
</file>