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AD3C" w14:textId="77777777" w:rsidR="004C7BDF" w:rsidRDefault="004C7BDF" w:rsidP="00713EFE">
      <w:pPr>
        <w:pStyle w:val="Zkladntext"/>
        <w:spacing w:after="192"/>
        <w:jc w:val="left"/>
        <w:rPr>
          <w:sz w:val="28"/>
          <w:szCs w:val="28"/>
          <w:lang w:val="cs-CZ"/>
        </w:rPr>
      </w:pPr>
    </w:p>
    <w:p w14:paraId="415C96DC" w14:textId="1210CEE4" w:rsidR="002132CC" w:rsidRPr="00BA736B" w:rsidRDefault="002132CC" w:rsidP="00713EFE">
      <w:pPr>
        <w:pStyle w:val="Zkladntext"/>
        <w:spacing w:after="192"/>
        <w:jc w:val="left"/>
        <w:rPr>
          <w:sz w:val="28"/>
          <w:szCs w:val="28"/>
          <w:lang w:val="cs-CZ"/>
        </w:rPr>
      </w:pPr>
      <w:r w:rsidRPr="00BA736B">
        <w:rPr>
          <w:sz w:val="28"/>
          <w:szCs w:val="28"/>
          <w:lang w:val="cs-CZ"/>
        </w:rPr>
        <w:t>TISKOVÁ ZPRÁVA</w:t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="00C1482D">
        <w:rPr>
          <w:sz w:val="28"/>
          <w:szCs w:val="28"/>
          <w:lang w:val="cs-CZ"/>
        </w:rPr>
        <w:t>19</w:t>
      </w:r>
      <w:r w:rsidR="0098607C">
        <w:rPr>
          <w:sz w:val="28"/>
          <w:szCs w:val="28"/>
          <w:lang w:val="cs-CZ"/>
        </w:rPr>
        <w:t xml:space="preserve">. </w:t>
      </w:r>
      <w:r w:rsidR="00C1482D">
        <w:rPr>
          <w:sz w:val="28"/>
          <w:szCs w:val="28"/>
          <w:lang w:val="cs-CZ"/>
        </w:rPr>
        <w:t>1</w:t>
      </w:r>
      <w:r w:rsidR="0098607C">
        <w:rPr>
          <w:sz w:val="28"/>
          <w:szCs w:val="28"/>
          <w:lang w:val="cs-CZ"/>
        </w:rPr>
        <w:t>. 2020</w:t>
      </w:r>
    </w:p>
    <w:p w14:paraId="18145B61" w14:textId="77777777" w:rsidR="009C3377" w:rsidRPr="00BA736B" w:rsidRDefault="009C3377" w:rsidP="00713EFE">
      <w:pPr>
        <w:spacing w:before="280" w:after="192"/>
        <w:rPr>
          <w:b/>
          <w:bCs/>
          <w:sz w:val="24"/>
          <w:szCs w:val="24"/>
        </w:rPr>
      </w:pPr>
    </w:p>
    <w:p w14:paraId="6FEE688D" w14:textId="67388A95" w:rsidR="009A2CA5" w:rsidRDefault="009A2CA5" w:rsidP="00ED6CC2">
      <w:pPr>
        <w:spacing w:before="280" w:after="192"/>
      </w:pPr>
      <w:r w:rsidRPr="009A2CA5">
        <w:rPr>
          <w:b/>
          <w:bCs/>
          <w:sz w:val="24"/>
          <w:szCs w:val="24"/>
        </w:rPr>
        <w:t xml:space="preserve">Výrazný příklon </w:t>
      </w:r>
      <w:r w:rsidR="0095202B" w:rsidRPr="009A2CA5">
        <w:rPr>
          <w:b/>
          <w:bCs/>
          <w:sz w:val="24"/>
          <w:szCs w:val="24"/>
        </w:rPr>
        <w:t xml:space="preserve">bankovnictví </w:t>
      </w:r>
      <w:r w:rsidRPr="009A2CA5">
        <w:rPr>
          <w:b/>
          <w:bCs/>
          <w:sz w:val="24"/>
          <w:szCs w:val="24"/>
        </w:rPr>
        <w:t xml:space="preserve">k digitalizaci v době covidu </w:t>
      </w:r>
      <w:r w:rsidR="00ED6CC2">
        <w:rPr>
          <w:b/>
          <w:bCs/>
          <w:sz w:val="24"/>
          <w:szCs w:val="24"/>
        </w:rPr>
        <w:t>má za důsledek pokles důvěry lidí. Banky to musí řešit</w:t>
      </w:r>
    </w:p>
    <w:p w14:paraId="33F42E20" w14:textId="77777777" w:rsidR="00ED6CC2" w:rsidRDefault="00ED6CC2" w:rsidP="00287065">
      <w:pPr>
        <w:spacing w:before="280" w:after="192"/>
      </w:pPr>
    </w:p>
    <w:p w14:paraId="79B98F5F" w14:textId="183DFA69" w:rsidR="00865AD2" w:rsidRDefault="009A2CA5" w:rsidP="009A2CA5">
      <w:pPr>
        <w:spacing w:afterLines="160" w:after="384"/>
      </w:pPr>
      <w:r w:rsidRPr="009A2CA5">
        <w:t xml:space="preserve">Nahrazení osobních kontaktů se zákazníky na pobočkách neosobními digitálními transakcemi prostřednictvím on-line a mobilních kanálů </w:t>
      </w:r>
      <w:r w:rsidR="00AC5A11">
        <w:t>během c</w:t>
      </w:r>
      <w:r w:rsidRPr="009A2CA5">
        <w:t xml:space="preserve">ovidové krize urychlilo pokračující narušení důvěry zákazníků </w:t>
      </w:r>
      <w:r w:rsidR="0095202B">
        <w:t>k bankám</w:t>
      </w:r>
      <w:r w:rsidRPr="009A2CA5">
        <w:t xml:space="preserve">, </w:t>
      </w:r>
      <w:r w:rsidR="0095202B">
        <w:t>říká</w:t>
      </w:r>
      <w:r w:rsidRPr="009A2CA5">
        <w:t xml:space="preserve"> nová </w:t>
      </w:r>
      <w:hyperlink r:id="rId8" w:history="1">
        <w:r w:rsidRPr="00C1482D">
          <w:rPr>
            <w:rStyle w:val="Hypertextovodkaz"/>
          </w:rPr>
          <w:t>studie Accenture</w:t>
        </w:r>
        <w:r w:rsidR="00ED6CC2" w:rsidRPr="00C1482D">
          <w:rPr>
            <w:rStyle w:val="Hypertextovodkaz"/>
          </w:rPr>
          <w:t>.</w:t>
        </w:r>
      </w:hyperlink>
      <w:r w:rsidRPr="009A2CA5">
        <w:t xml:space="preserve"> </w:t>
      </w:r>
    </w:p>
    <w:p w14:paraId="4FBFC641" w14:textId="43B1232D" w:rsidR="009A2CA5" w:rsidRPr="00C1482D" w:rsidRDefault="00865AD2" w:rsidP="00620ADC">
      <w:pPr>
        <w:spacing w:afterLines="160" w:after="384"/>
      </w:pPr>
      <w:r w:rsidRPr="00C1482D">
        <w:t>„</w:t>
      </w:r>
      <w:r w:rsidR="009A2CA5" w:rsidRPr="00C1482D">
        <w:t>N</w:t>
      </w:r>
      <w:r w:rsidRPr="00C1482D">
        <w:t>aše studie</w:t>
      </w:r>
      <w:r w:rsidR="009A2CA5" w:rsidRPr="00C1482D">
        <w:t xml:space="preserve"> </w:t>
      </w:r>
      <w:r w:rsidR="001D1B61" w:rsidRPr="00C1482D">
        <w:t>ukazuje</w:t>
      </w:r>
      <w:r w:rsidR="009A2CA5" w:rsidRPr="00C1482D">
        <w:t xml:space="preserve">, že bez silného emocionálního spojení s bankou budou zákazníci vnímat bankovní služby jako komoditu, a cena pak bude hlavním konkurenčním rozlišovacím prvkem. </w:t>
      </w:r>
      <w:r w:rsidR="00C0562E">
        <w:t>T</w:t>
      </w:r>
      <w:r w:rsidR="009A2CA5" w:rsidRPr="00C1482D">
        <w:t>éměř čtyři z deseti respondentů</w:t>
      </w:r>
      <w:r w:rsidR="00C0562E">
        <w:t xml:space="preserve"> </w:t>
      </w:r>
      <w:r w:rsidR="009A2CA5" w:rsidRPr="00C1482D">
        <w:t>(37</w:t>
      </w:r>
      <w:r w:rsidR="00C0562E">
        <w:t xml:space="preserve"> </w:t>
      </w:r>
      <w:r w:rsidR="009A2CA5" w:rsidRPr="00C1482D">
        <w:t>%) zařadili poměr mezi kvalitou a cenou mezi tři nejdůležitější faktory při jednání s bankou, což je 10% nárůst oproti průzkumu před dvěma lety</w:t>
      </w:r>
      <w:r w:rsidR="000900BC" w:rsidRPr="00C1482D">
        <w:t xml:space="preserve">. </w:t>
      </w:r>
      <w:r w:rsidR="00E41F60" w:rsidRPr="00C1482D">
        <w:t>Začínají se tu tudíž vymezovat dva hlavní trendy, kterými se banky udávají, a to</w:t>
      </w:r>
      <w:r w:rsidR="006C19B4" w:rsidRPr="00C1482D">
        <w:t xml:space="preserve"> cestou vysoké kvality</w:t>
      </w:r>
      <w:r w:rsidR="000665C8" w:rsidRPr="00C1482D">
        <w:t xml:space="preserve"> </w:t>
      </w:r>
      <w:r w:rsidR="00DB2246" w:rsidRPr="00C1482D">
        <w:t>založené na osobním přístupu</w:t>
      </w:r>
      <w:r w:rsidR="006C19B4" w:rsidRPr="00C1482D">
        <w:t xml:space="preserve">, za kterou jsou zákazníci ochotni si připlatit anebo </w:t>
      </w:r>
      <w:r w:rsidR="00445E7C" w:rsidRPr="00C1482D">
        <w:t>cesta vysokých objemů transakcí a klientů za nízkou cenu</w:t>
      </w:r>
      <w:r w:rsidR="00AB57BB" w:rsidRPr="00C1482D">
        <w:t>. Bude tedy hlavně na bankách jakou cestou se rozhodnou vydat</w:t>
      </w:r>
      <w:r w:rsidR="00C0562E">
        <w:t>,“</w:t>
      </w:r>
      <w:r w:rsidRPr="00C1482D">
        <w:t xml:space="preserve"> říká Karel Kotoun</w:t>
      </w:r>
      <w:r w:rsidR="000E5BED" w:rsidRPr="00C1482D">
        <w:t xml:space="preserve">, </w:t>
      </w:r>
      <w:r w:rsidR="00ED6CC2" w:rsidRPr="00C1482D">
        <w:t>konzultant a strategický manažer společnosti Accenture v oblasti finančních služeb</w:t>
      </w:r>
      <w:r w:rsidR="009A2CA5" w:rsidRPr="00C1482D">
        <w:t>.</w:t>
      </w:r>
      <w:r w:rsidR="00947FAF" w:rsidRPr="00C1482D">
        <w:t xml:space="preserve"> </w:t>
      </w:r>
    </w:p>
    <w:p w14:paraId="0B258947" w14:textId="390C0557" w:rsidR="009A2CA5" w:rsidRPr="009A2CA5" w:rsidRDefault="00F7001E" w:rsidP="009A2CA5">
      <w:pPr>
        <w:spacing w:afterLines="160" w:after="384"/>
      </w:pPr>
      <w:r>
        <w:t>K</w:t>
      </w:r>
      <w:r w:rsidR="009A2CA5" w:rsidRPr="009A2CA5">
        <w:t>dyž banky dlouhodobě motiv</w:t>
      </w:r>
      <w:r w:rsidR="000041C8">
        <w:t>oval</w:t>
      </w:r>
      <w:r w:rsidR="00650AD0">
        <w:t>y</w:t>
      </w:r>
      <w:r w:rsidR="009A2CA5" w:rsidRPr="009A2CA5">
        <w:t xml:space="preserve"> své klienty k využívání digitálních kanálů, nikdo nepředpokládal, jak </w:t>
      </w:r>
      <w:r w:rsidR="00865AD2">
        <w:t>dramaticky</w:t>
      </w:r>
      <w:r w:rsidR="00865AD2" w:rsidRPr="009A2CA5">
        <w:t xml:space="preserve"> </w:t>
      </w:r>
      <w:r w:rsidR="009A2CA5" w:rsidRPr="009A2CA5">
        <w:t>se tento trend zrychlí v</w:t>
      </w:r>
      <w:r w:rsidR="009A2CA5">
        <w:t> </w:t>
      </w:r>
      <w:r w:rsidR="009A2CA5" w:rsidRPr="009A2CA5">
        <w:t>důsledku kovidové krize. Banky často považovaly širší přijetí digitálních technologií za způsob, jak snížit náklady a poskytovat služby 24/7. Rychlá změna stávajících služeb a kvapné spuštění těch digitálních téměř odstranilo z bankovnictví životně důležitý lidský prvek, což ještě více narušilo důvěru spotřebitelů.</w:t>
      </w:r>
    </w:p>
    <w:p w14:paraId="75E988D6" w14:textId="77777777" w:rsidR="00682A5B" w:rsidRDefault="00682A5B" w:rsidP="009A2CA5">
      <w:pPr>
        <w:spacing w:afterLines="160" w:after="384"/>
        <w:rPr>
          <w:i/>
          <w:iCs/>
        </w:rPr>
      </w:pPr>
      <w:r>
        <w:drawing>
          <wp:inline distT="0" distB="0" distL="0" distR="0" wp14:anchorId="3CC8A28F" wp14:editId="0972EB45">
            <wp:extent cx="4417122" cy="212407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39" cy="213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A870B" w14:textId="77777777" w:rsidR="00682A5B" w:rsidRDefault="00682A5B" w:rsidP="009A2CA5">
      <w:pPr>
        <w:spacing w:afterLines="160" w:after="384"/>
        <w:rPr>
          <w:i/>
          <w:iCs/>
        </w:rPr>
      </w:pPr>
    </w:p>
    <w:p w14:paraId="17641161" w14:textId="1B337C0C" w:rsidR="009A2CA5" w:rsidRPr="009A2CA5" w:rsidRDefault="009A2CA5" w:rsidP="009A2CA5">
      <w:pPr>
        <w:spacing w:afterLines="160" w:after="384"/>
      </w:pPr>
      <w:r w:rsidRPr="009A2CA5">
        <w:rPr>
          <w:i/>
          <w:iCs/>
        </w:rPr>
        <w:lastRenderedPageBreak/>
        <w:br/>
        <w:t> </w:t>
      </w:r>
      <w:r w:rsidRPr="009A2CA5">
        <w:t xml:space="preserve">„V době, kdy je důvěra zákazníků kriticky důležitá, ohrožuje nedávný přechod k digitálu vztahy, na jejichž vývoji se banky snažily rozvíjet,“ konstatuje Alan McIntyre, který v Accenture vede divizi zaměřenou na bankovnictví. „Zrychlení digitalizace způsobené pandemií je pro bankovnictví dvojsečné. I když umožnilo efektivně </w:t>
      </w:r>
      <w:r w:rsidR="000041C8">
        <w:t xml:space="preserve">pomáhat </w:t>
      </w:r>
      <w:r w:rsidRPr="009A2CA5">
        <w:t>zákazníkům během celé pandemie – a v některých případech posunulo digitální strategie</w:t>
      </w:r>
      <w:r>
        <w:t xml:space="preserve"> bank</w:t>
      </w:r>
      <w:r w:rsidRPr="009A2CA5">
        <w:t xml:space="preserve"> až o pět let</w:t>
      </w:r>
      <w:r w:rsidR="000041C8">
        <w:t xml:space="preserve"> dopředu</w:t>
      </w:r>
      <w:r w:rsidRPr="009A2CA5">
        <w:t xml:space="preserve"> – přimělo je to zavést řešení, která jsou funkčně adekvátní, ale </w:t>
      </w:r>
      <w:r w:rsidR="00630960">
        <w:t>emocionálně neutrální</w:t>
      </w:r>
      <w:r w:rsidRPr="009A2CA5">
        <w:t xml:space="preserve">. Aby si banky vytvořily silné vazby se zákazníky, musí znovu přehodnotit </w:t>
      </w:r>
      <w:r>
        <w:t xml:space="preserve">své </w:t>
      </w:r>
      <w:r w:rsidRPr="009A2CA5">
        <w:t>digitální služby, a zajistit, aby t</w:t>
      </w:r>
      <w:r w:rsidR="00865AD2">
        <w:t>y</w:t>
      </w:r>
      <w:r w:rsidRPr="009A2CA5">
        <w:t xml:space="preserve">to </w:t>
      </w:r>
      <w:r>
        <w:t>kontakty s klienty</w:t>
      </w:r>
      <w:r w:rsidRPr="009A2CA5">
        <w:t xml:space="preserve"> byl</w:t>
      </w:r>
      <w:r>
        <w:t>y</w:t>
      </w:r>
      <w:r w:rsidRPr="009A2CA5">
        <w:t xml:space="preserve"> ve větší míře osobní a relevantní.“</w:t>
      </w:r>
    </w:p>
    <w:p w14:paraId="6D32D638" w14:textId="2E87D488" w:rsidR="009A2CA5" w:rsidRPr="009A2CA5" w:rsidRDefault="009A2CA5" w:rsidP="009A2CA5">
      <w:pPr>
        <w:spacing w:afterLines="160" w:after="384"/>
        <w:rPr>
          <w:i/>
          <w:iCs/>
        </w:rPr>
      </w:pPr>
      <w:r w:rsidRPr="009A2CA5">
        <w:t> </w:t>
      </w:r>
      <w:r w:rsidR="00682A5B">
        <w:drawing>
          <wp:inline distT="0" distB="0" distL="0" distR="0" wp14:anchorId="2FBF4DE6" wp14:editId="11178740">
            <wp:extent cx="4400550" cy="2144243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377" cy="215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105C6" w14:textId="62DBEB03" w:rsidR="009A2CA5" w:rsidRPr="009A2CA5" w:rsidRDefault="009A2CA5" w:rsidP="009A2CA5">
      <w:pPr>
        <w:spacing w:afterLines="160" w:after="384"/>
      </w:pPr>
      <w:r w:rsidRPr="009A2CA5">
        <w:t xml:space="preserve">Na otázku, do jaké míry lidé důvěřují bance, že ochrání jejich </w:t>
      </w:r>
      <w:r w:rsidR="00217FD2">
        <w:t xml:space="preserve">osobní </w:t>
      </w:r>
      <w:r w:rsidRPr="009A2CA5">
        <w:t>data, méně než čtyři z deseti (37</w:t>
      </w:r>
      <w:r w:rsidR="00217FD2">
        <w:t> </w:t>
      </w:r>
      <w:r w:rsidRPr="009A2CA5">
        <w:t>%) řekli „hodně“, což je pokles o 14 % oproti situaci před pouhými dvěma lety. Přestože důvěra jako taková může být narušena, zpráva ukázala, že více než polovina (57 %) respondentů věří, že při poskytování poradenství má banka na mysli jejich nejlepší zájem „vždy“ nebo „většinou“ a 62 % věří</w:t>
      </w:r>
      <w:r w:rsidR="00C0562E">
        <w:t>,</w:t>
      </w:r>
      <w:r w:rsidRPr="009A2CA5">
        <w:t xml:space="preserve"> že </w:t>
      </w:r>
      <w:r w:rsidR="00217FD2">
        <w:t>poskytnutá</w:t>
      </w:r>
      <w:r w:rsidRPr="009A2CA5">
        <w:t xml:space="preserve"> rada je chytrá, přizpůsobená a založená na správných informacích.</w:t>
      </w:r>
    </w:p>
    <w:p w14:paraId="09575845" w14:textId="04CEC0E6" w:rsidR="009A2CA5" w:rsidRPr="009A2CA5" w:rsidRDefault="009A2CA5" w:rsidP="009A2CA5">
      <w:pPr>
        <w:spacing w:afterLines="160" w:after="384"/>
      </w:pPr>
      <w:r w:rsidRPr="009A2CA5">
        <w:t xml:space="preserve">Tyto faktory pravděpodobně přispívají k tomu, proč téměř čtvrtina (23 %) spotřebitelů věří, že banky jsou v nejlepší pozici, aby jim mohly poskytovat produkty a služby </w:t>
      </w:r>
      <w:r w:rsidR="00217FD2">
        <w:t xml:space="preserve">i </w:t>
      </w:r>
      <w:r w:rsidRPr="009A2CA5">
        <w:t>mimo oblast jejich odborných znalostí, ve srovnání s pouhými 16 %, 12 % a 11 % respondentů, kteří uvedli totéž pro poskytovatele technologií, sociální média a neobanks.</w:t>
      </w:r>
    </w:p>
    <w:p w14:paraId="76E212A6" w14:textId="706B2DFE" w:rsidR="009A2CA5" w:rsidRPr="009A2CA5" w:rsidRDefault="009A2CA5" w:rsidP="00217FD2">
      <w:pPr>
        <w:spacing w:afterLines="50" w:after="120"/>
        <w:contextualSpacing/>
        <w:rPr>
          <w:b/>
          <w:bCs/>
        </w:rPr>
      </w:pPr>
      <w:r w:rsidRPr="009A2CA5">
        <w:rPr>
          <w:b/>
          <w:bCs/>
        </w:rPr>
        <w:t>Trvalá změna chování nebo výstřelek způsobený pandemií? </w:t>
      </w:r>
    </w:p>
    <w:p w14:paraId="59F2645D" w14:textId="1D359D72" w:rsidR="009A2CA5" w:rsidRPr="009A2CA5" w:rsidRDefault="009A2CA5" w:rsidP="009A2CA5">
      <w:pPr>
        <w:spacing w:afterLines="160" w:after="384"/>
      </w:pPr>
      <w:r w:rsidRPr="009A2CA5">
        <w:t>Zpráva naznačuje, že banky musí vyhodnotit, jak bylo chování spotřebitelů ovlivněno pandemií, a</w:t>
      </w:r>
      <w:r w:rsidR="00217FD2">
        <w:t> </w:t>
      </w:r>
      <w:r w:rsidRPr="009A2CA5">
        <w:t xml:space="preserve">určit, které změny chování jsou trvalé </w:t>
      </w:r>
      <w:r w:rsidR="00217FD2">
        <w:t>–</w:t>
      </w:r>
      <w:r w:rsidRPr="009A2CA5">
        <w:t xml:space="preserve"> všímá si například rostoucí popularity videohovorů. Před </w:t>
      </w:r>
      <w:r w:rsidR="00FE0302">
        <w:t>c</w:t>
      </w:r>
      <w:r w:rsidRPr="009A2CA5">
        <w:t xml:space="preserve">ovidovou pandemií </w:t>
      </w:r>
      <w:r w:rsidR="00217FD2">
        <w:t>komunikovalo</w:t>
      </w:r>
      <w:r w:rsidRPr="009A2CA5">
        <w:t xml:space="preserve"> s bankovním poradcem prostřednictvím videohovoru pouze 15 % respondentů, ale téměř polovina (46 %) uvedla, že by byla ochotna tak učinit, i když se znovu otevřou pobočky, a 35 % uvedlo, že by upřednostňovalo videohovory před osobní schůzkou.</w:t>
      </w:r>
    </w:p>
    <w:p w14:paraId="43011994" w14:textId="77777777" w:rsidR="009A2CA5" w:rsidRPr="009A2CA5" w:rsidRDefault="009A2CA5" w:rsidP="009A2CA5">
      <w:pPr>
        <w:spacing w:afterLines="160" w:after="384"/>
      </w:pPr>
      <w:r w:rsidRPr="009A2CA5">
        <w:t>Banky však musí pochopit, jak různé kanály ovlivňují důvěru spotřebitelů. Například při přijímání rad ohledně produktů a nabídek pouze 28 % z nich uvedlo, že „hodně“ důvěřuje lidskému poradci, který poskytuje poradenství prostřednictvím videohovoru, ve srovnání s 36 % a 48 % při poskytování poradenství telefonicky nebo osobně v pobočce.</w:t>
      </w:r>
    </w:p>
    <w:p w14:paraId="1C3F1BC8" w14:textId="3C0F71C0" w:rsidR="009A2CA5" w:rsidRPr="009A2CA5" w:rsidRDefault="009A2CA5" w:rsidP="009A2CA5">
      <w:pPr>
        <w:spacing w:afterLines="160" w:after="384"/>
      </w:pPr>
      <w:r w:rsidRPr="009A2CA5">
        <w:t xml:space="preserve">„Banky </w:t>
      </w:r>
      <w:r w:rsidR="001D1B61">
        <w:t>by měly</w:t>
      </w:r>
      <w:r w:rsidR="001D1B61" w:rsidRPr="009A2CA5">
        <w:t xml:space="preserve"> </w:t>
      </w:r>
      <w:r w:rsidRPr="009A2CA5">
        <w:t>přijmout, že vývoj v chování spotřebitele</w:t>
      </w:r>
      <w:r w:rsidR="004C4A93">
        <w:t>,</w:t>
      </w:r>
      <w:r w:rsidR="00C0562E">
        <w:t xml:space="preserve"> </w:t>
      </w:r>
      <w:r w:rsidR="001B2270">
        <w:t>tlak ze strany nefinanční konkurence</w:t>
      </w:r>
      <w:r w:rsidR="006C38F8">
        <w:t xml:space="preserve"> a celková digitalizace veřejného života</w:t>
      </w:r>
      <w:r w:rsidR="001B2270">
        <w:t xml:space="preserve"> </w:t>
      </w:r>
      <w:r w:rsidR="002309CA">
        <w:t>znamená, že již nestačí vytvořit digitální ovladače</w:t>
      </w:r>
      <w:r w:rsidR="00E71AAE">
        <w:t xml:space="preserve"> bankovních systémů. Je zapotřebí klienty zaujmout</w:t>
      </w:r>
      <w:r w:rsidR="00325E5B">
        <w:t xml:space="preserve"> a </w:t>
      </w:r>
      <w:r w:rsidR="00E71AAE">
        <w:t>zabavit</w:t>
      </w:r>
      <w:r w:rsidR="00325E5B">
        <w:t xml:space="preserve"> osobním přístupem </w:t>
      </w:r>
      <w:r w:rsidR="000758F9">
        <w:t xml:space="preserve">a </w:t>
      </w:r>
      <w:r w:rsidRPr="009A2CA5">
        <w:t xml:space="preserve">ve správný okamžik </w:t>
      </w:r>
      <w:r w:rsidR="000758F9">
        <w:t>být schopen přepnout na</w:t>
      </w:r>
      <w:r w:rsidRPr="009A2CA5">
        <w:t xml:space="preserve"> lidského poradce,“  </w:t>
      </w:r>
      <w:r w:rsidR="00AC5A11">
        <w:t>dodává Karel Kotoun</w:t>
      </w:r>
      <w:r w:rsidRPr="009A2CA5">
        <w:t>. „Je třeba zvolit správnou rovnováhu mezi lidskými a strojovými interakcemi, prolnutím personalizovaných digitálních služeb s lidskou asistencí, když je třeba. To je cesta k posílení vztahů bank s jejich zákazníky, která by mohla pomoci budovat důvěru, loajalitu a přinést výhody pro obě strany.“</w:t>
      </w:r>
    </w:p>
    <w:p w14:paraId="3C199967" w14:textId="77777777" w:rsidR="009A2CA5" w:rsidRPr="009A2CA5" w:rsidRDefault="009A2CA5" w:rsidP="00217FD2">
      <w:pPr>
        <w:spacing w:afterLines="50" w:after="120"/>
        <w:contextualSpacing/>
        <w:rPr>
          <w:b/>
          <w:bCs/>
        </w:rPr>
      </w:pPr>
      <w:r w:rsidRPr="009A2CA5">
        <w:rPr>
          <w:b/>
          <w:bCs/>
        </w:rPr>
        <w:t>Evoluce změn</w:t>
      </w:r>
    </w:p>
    <w:p w14:paraId="3D1EE4C7" w14:textId="502C31AC" w:rsidR="009A2CA5" w:rsidRPr="009A2CA5" w:rsidRDefault="009A2CA5" w:rsidP="009A2CA5">
      <w:pPr>
        <w:spacing w:afterLines="160" w:after="384"/>
      </w:pPr>
      <w:r w:rsidRPr="009A2CA5">
        <w:t xml:space="preserve">Zpráva zjistila, že </w:t>
      </w:r>
      <w:r w:rsidR="00217FD2">
        <w:t>výměna</w:t>
      </w:r>
      <w:r w:rsidRPr="009A2CA5">
        <w:t xml:space="preserve"> banky</w:t>
      </w:r>
      <w:r w:rsidR="00217FD2">
        <w:t xml:space="preserve"> ze strany klienta</w:t>
      </w:r>
      <w:r w:rsidRPr="009A2CA5">
        <w:t>, jež bývala reálným indikátorem zvýšené konkurence nebo nespokojenosti zákazníků, již v posledních dvou letech není tak častá. Frekvence změny primárního účtu významně poklesla</w:t>
      </w:r>
      <w:r w:rsidR="00217FD2">
        <w:t>:</w:t>
      </w:r>
      <w:r w:rsidRPr="009A2CA5">
        <w:t xml:space="preserve"> pouze 3,8 % respondentů uvedlo, že změnilo svůj primární bankovní účet za posledních 12 měsíců, ve srovnání se 6,7 % před dvěma lety. Zpráva konstatuje, že tato nízká čísla lze připsat přirozenému propadu v přijímání neobank, spolu s tím, že tradiční banky zlepšují své digitální schopnosti. Zpráva naznačuje, že tyto údaje by ale mohly </w:t>
      </w:r>
      <w:r w:rsidR="00C0562E">
        <w:t>vatvářet</w:t>
      </w:r>
      <w:r w:rsidRPr="009A2CA5">
        <w:t xml:space="preserve"> falešný pocit bezpečí stávajícím </w:t>
      </w:r>
      <w:r w:rsidR="00217FD2">
        <w:t>ústavům</w:t>
      </w:r>
      <w:r w:rsidRPr="009A2CA5">
        <w:t>. Kvantifikace změn je nyní složitější, protože zákazníci doplňují svůj primární bankovní účet dalšími účty, které slouží ke konkrétním účelům – směřujeme k multibankovním zákazníkům.</w:t>
      </w:r>
    </w:p>
    <w:p w14:paraId="3453C52F" w14:textId="6F4BDC2F" w:rsidR="009A2CA5" w:rsidRPr="009A2CA5" w:rsidRDefault="009A2CA5" w:rsidP="009A2CA5">
      <w:pPr>
        <w:spacing w:afterLines="160" w:after="384"/>
      </w:pPr>
      <w:r w:rsidRPr="009A2CA5">
        <w:t xml:space="preserve">Zprávu v plném znění najdete </w:t>
      </w:r>
      <w:hyperlink r:id="rId11" w:history="1">
        <w:r w:rsidRPr="00865AD2">
          <w:rPr>
            <w:rStyle w:val="Hypertextovodkaz"/>
          </w:rPr>
          <w:t>zde</w:t>
        </w:r>
      </w:hyperlink>
      <w:r w:rsidR="00865AD2">
        <w:t>.</w:t>
      </w:r>
      <w:r w:rsidRPr="009A2CA5">
        <w:t> </w:t>
      </w:r>
    </w:p>
    <w:p w14:paraId="55539FBD" w14:textId="77777777" w:rsidR="00C0562E" w:rsidRDefault="00C0562E" w:rsidP="00580DDA">
      <w:pPr>
        <w:spacing w:after="192"/>
        <w:rPr>
          <w:b/>
          <w:bCs/>
        </w:rPr>
      </w:pPr>
    </w:p>
    <w:p w14:paraId="22318308" w14:textId="4A7A6A7A" w:rsidR="00580DDA" w:rsidRPr="00580DDA" w:rsidRDefault="00580DDA" w:rsidP="00580DDA">
      <w:pPr>
        <w:spacing w:after="192"/>
      </w:pPr>
      <w:r w:rsidRPr="00580DDA">
        <w:rPr>
          <w:b/>
          <w:bCs/>
        </w:rPr>
        <w:t>O společnosti Accenture</w:t>
      </w:r>
    </w:p>
    <w:p w14:paraId="607C9A3A" w14:textId="77777777" w:rsidR="00580DDA" w:rsidRPr="00580DDA" w:rsidRDefault="00580DDA" w:rsidP="00580DDA">
      <w:pPr>
        <w:spacing w:after="192"/>
      </w:pPr>
      <w:r w:rsidRPr="00580DDA">
        <w:t>Accenture je globální společnost poskytující profesionální služby v</w:t>
      </w:r>
      <w:r>
        <w:t xml:space="preserve"> oblasti digitalizace, cloudu a </w:t>
      </w:r>
      <w:r w:rsidRPr="00580DDA">
        <w:t>kybernetické bezpečnosti. Díky propojení zkušeností a specializovaných dovedností ve více než 40 průmyslových odvětvích nabízíme služby v oblastech poradenství &amp; strateg</w:t>
      </w:r>
      <w:r>
        <w:t xml:space="preserve">ie, Interactive, Technology a </w:t>
      </w:r>
      <w:r w:rsidRPr="00580DDA">
        <w:t>Operations – a to díky podp</w:t>
      </w:r>
      <w:r>
        <w:t>oř</w:t>
      </w:r>
      <w:r w:rsidRPr="00580DDA">
        <w:t>e největší celosvětové sítě Advanced Technology a Intelligent Operations center. Našich 506 000 zaměstnanců využívá možnosti nejnovějších technologií i lidské vynalézavosti v práci pro klienty ve více než 120 zemích. D</w:t>
      </w:r>
      <w:r>
        <w:t>íky síle změn vytváříme hodnoty a zv</w:t>
      </w:r>
      <w:r w:rsidRPr="00580DDA">
        <w:t>yšujeme úspěšnost našich klientů, lidí, akcionářů, partnerů i celé společnosti. Navštivte nás na </w:t>
      </w:r>
      <w:hyperlink r:id="rId12" w:tgtFrame="_blank" w:history="1">
        <w:r w:rsidRPr="00580DDA">
          <w:rPr>
            <w:rStyle w:val="Hypertextovodkaz"/>
          </w:rPr>
          <w:t>www.accenture.com</w:t>
        </w:r>
      </w:hyperlink>
    </w:p>
    <w:p w14:paraId="2735987C" w14:textId="77777777" w:rsidR="00D66599" w:rsidRDefault="00D66599" w:rsidP="0098607C">
      <w:pPr>
        <w:pStyle w:val="Bezmezer"/>
        <w:spacing w:after="192"/>
      </w:pPr>
    </w:p>
    <w:p w14:paraId="4E2798B9" w14:textId="77777777" w:rsidR="00D66599" w:rsidRPr="00A86815" w:rsidRDefault="00D66599" w:rsidP="00787C24">
      <w:pPr>
        <w:spacing w:before="120" w:after="192"/>
        <w:contextualSpacing/>
        <w:jc w:val="left"/>
        <w:sectPr w:rsidR="00D66599" w:rsidRPr="00A86815" w:rsidSect="00616E3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/>
          <w:pgMar w:top="1701" w:right="1418" w:bottom="1418" w:left="1418" w:header="709" w:footer="709" w:gutter="0"/>
          <w:cols w:space="708"/>
        </w:sectPr>
      </w:pPr>
      <w:r w:rsidRPr="00BA736B">
        <w:rPr>
          <w:b/>
          <w:bCs/>
        </w:rPr>
        <w:t>Kontakt</w:t>
      </w:r>
      <w:r w:rsidRPr="00BA736B">
        <w:rPr>
          <w:b/>
        </w:rPr>
        <w:t xml:space="preserve"> pro média:</w:t>
      </w:r>
      <w:r w:rsidRPr="00BA736B">
        <w:t xml:space="preserve"> </w:t>
      </w:r>
      <w:r>
        <w:tab/>
      </w:r>
      <w:r w:rsidRPr="00BA736B">
        <w:t xml:space="preserve">Petr Jarkovský, </w:t>
      </w:r>
      <w:hyperlink r:id="rId19" w:history="1">
        <w:r w:rsidRPr="00BA736B">
          <w:rPr>
            <w:rStyle w:val="Hypertextovodkaz"/>
          </w:rPr>
          <w:t>petr.jarkovsky@aspen.pr</w:t>
        </w:r>
      </w:hyperlink>
      <w:r w:rsidRPr="00BA736B">
        <w:t>, 774 225</w:t>
      </w:r>
      <w:r>
        <w:t> </w:t>
      </w:r>
      <w:r w:rsidRPr="00BA736B">
        <w:t>153</w:t>
      </w:r>
    </w:p>
    <w:p w14:paraId="601ADC94" w14:textId="77777777" w:rsidR="000663DE" w:rsidRPr="00BA736B" w:rsidRDefault="00D66599" w:rsidP="0098607C">
      <w:pPr>
        <w:pStyle w:val="Textkomente"/>
        <w:spacing w:after="192"/>
        <w:contextualSpacing/>
      </w:pPr>
      <w:r>
        <w:tab/>
      </w:r>
      <w:r>
        <w:tab/>
      </w:r>
      <w:r>
        <w:tab/>
        <w:t xml:space="preserve">Markéta Ciňková, </w:t>
      </w:r>
      <w:hyperlink r:id="rId20" w:history="1">
        <w:r w:rsidRPr="002A5EED">
          <w:rPr>
            <w:rStyle w:val="Hypertextovodkaz"/>
          </w:rPr>
          <w:t>marketa.cinkova@aspen.pr</w:t>
        </w:r>
      </w:hyperlink>
      <w:r>
        <w:t>, 724 012 612</w:t>
      </w:r>
    </w:p>
    <w:sectPr w:rsidR="000663DE" w:rsidRPr="00BA736B" w:rsidSect="003006BF">
      <w:headerReference w:type="default" r:id="rId21"/>
      <w:type w:val="continuous"/>
      <w:pgSz w:w="11907" w:h="16840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66167" w14:textId="77777777" w:rsidR="00CB65E7" w:rsidRDefault="00CB65E7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7431542F" w14:textId="77777777" w:rsidR="00CB65E7" w:rsidRDefault="00CB65E7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9D6C0" w14:textId="77777777" w:rsidR="004C7BDF" w:rsidRDefault="004C7BDF">
    <w:pPr>
      <w:pStyle w:val="Zpat"/>
      <w:spacing w:after="1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9AEF" w14:textId="77777777" w:rsidR="004C7BDF" w:rsidRDefault="004C7BDF">
    <w:pPr>
      <w:pStyle w:val="Zpat"/>
      <w:spacing w:after="1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95A39" w14:textId="77777777" w:rsidR="004C7BDF" w:rsidRDefault="004C7BDF">
    <w:pPr>
      <w:pStyle w:val="Zpat"/>
      <w:spacing w:after="1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41BFD" w14:textId="77777777" w:rsidR="00CB65E7" w:rsidRDefault="00CB65E7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E6E5AE6" w14:textId="77777777" w:rsidR="00CB65E7" w:rsidRDefault="00CB65E7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D27D" w14:textId="77777777" w:rsidR="004C7BDF" w:rsidRDefault="004C7BDF">
    <w:pPr>
      <w:pStyle w:val="Zhlav"/>
      <w:spacing w:after="1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B9E9E" w14:textId="208C3CE8" w:rsidR="00D66599" w:rsidRDefault="00217FD2">
    <w:pPr>
      <w:pStyle w:val="Zhlav"/>
      <w:spacing w:after="192"/>
      <w:rPr>
        <w:rFonts w:ascii="Times New Roman" w:hAnsi="Times New Roman"/>
      </w:rPr>
    </w:pPr>
    <w:r w:rsidRPr="00125943">
      <w:rPr>
        <w:rFonts w:ascii="Times New Roman" w:hAnsi="Times New Roman"/>
        <w:snapToGrid/>
        <w:lang w:eastAsia="cs-CZ"/>
      </w:rPr>
      <w:drawing>
        <wp:inline distT="0" distB="0" distL="0" distR="0" wp14:anchorId="55C45AB3" wp14:editId="5E7A9AA9">
          <wp:extent cx="1955800" cy="527050"/>
          <wp:effectExtent l="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0FAA6" w14:textId="77777777" w:rsidR="004C7BDF" w:rsidRDefault="004C7BDF">
    <w:pPr>
      <w:pStyle w:val="Zhlav"/>
      <w:spacing w:after="19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43" w:type="dxa"/>
      <w:tblBorders>
        <w:top w:val="dotted" w:sz="4" w:space="0" w:color="FFFFFF"/>
        <w:left w:val="dotted" w:sz="4" w:space="0" w:color="FFFFFF"/>
        <w:bottom w:val="dotted" w:sz="4" w:space="0" w:color="FFFFFF"/>
        <w:right w:val="dotted" w:sz="4" w:space="0" w:color="FFFFFF"/>
        <w:insideV w:val="dotted" w:sz="4" w:space="0" w:color="FFFFFF"/>
      </w:tblBorders>
      <w:tblLayout w:type="fixed"/>
      <w:tblLook w:val="0000" w:firstRow="0" w:lastRow="0" w:firstColumn="0" w:lastColumn="0" w:noHBand="0" w:noVBand="0"/>
    </w:tblPr>
    <w:tblGrid>
      <w:gridCol w:w="5973"/>
      <w:gridCol w:w="4870"/>
    </w:tblGrid>
    <w:tr w:rsidR="002132CC" w14:paraId="2A00979E" w14:textId="77777777" w:rsidTr="00DF79C4">
      <w:trPr>
        <w:trHeight w:val="1979"/>
      </w:trPr>
      <w:tc>
        <w:tcPr>
          <w:tcW w:w="5973" w:type="dxa"/>
        </w:tcPr>
        <w:p w14:paraId="0CBD6C29" w14:textId="5AFC6E80" w:rsidR="002132CC" w:rsidRDefault="00217FD2">
          <w:pPr>
            <w:pStyle w:val="Zhlav"/>
            <w:spacing w:before="60" w:after="192"/>
            <w:rPr>
              <w:rFonts w:ascii="Times New Roman" w:hAnsi="Times New Roman"/>
            </w:rPr>
          </w:pPr>
          <w:r>
            <w:drawing>
              <wp:anchor distT="0" distB="0" distL="114300" distR="114300" simplePos="0" relativeHeight="251657728" behindDoc="1" locked="0" layoutInCell="1" allowOverlap="1" wp14:anchorId="68D862AF" wp14:editId="799818CD">
                <wp:simplePos x="0" y="0"/>
                <wp:positionH relativeFrom="column">
                  <wp:posOffset>-2463165</wp:posOffset>
                </wp:positionH>
                <wp:positionV relativeFrom="paragraph">
                  <wp:posOffset>635</wp:posOffset>
                </wp:positionV>
                <wp:extent cx="2187575" cy="1038225"/>
                <wp:effectExtent l="0" t="0" r="0" b="0"/>
                <wp:wrapTight wrapText="bothSides">
                  <wp:wrapPolygon edited="0">
                    <wp:start x="0" y="396"/>
                    <wp:lineTo x="0" y="21402"/>
                    <wp:lineTo x="21443" y="21402"/>
                    <wp:lineTo x="21443" y="396"/>
                    <wp:lineTo x="0" y="396"/>
                  </wp:wrapPolygon>
                </wp:wrapTight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5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0" w:type="dxa"/>
        </w:tcPr>
        <w:p w14:paraId="59EB1139" w14:textId="77777777" w:rsidR="002132CC" w:rsidRPr="000663DE" w:rsidRDefault="002132CC" w:rsidP="000663DE">
          <w:pPr>
            <w:spacing w:after="192"/>
          </w:pPr>
        </w:p>
      </w:tc>
    </w:tr>
  </w:tbl>
  <w:p w14:paraId="73C54F0E" w14:textId="77777777" w:rsidR="002132CC" w:rsidRDefault="002132CC">
    <w:pPr>
      <w:pStyle w:val="Zhlav"/>
      <w:spacing w:after="192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28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B5C7C89"/>
    <w:multiLevelType w:val="hybridMultilevel"/>
    <w:tmpl w:val="D6AC0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C9437FF"/>
    <w:multiLevelType w:val="hybridMultilevel"/>
    <w:tmpl w:val="0DD2990E"/>
    <w:lvl w:ilvl="0" w:tplc="FB7C63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D9C5ADB"/>
    <w:multiLevelType w:val="hybridMultilevel"/>
    <w:tmpl w:val="315E28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65901E4"/>
    <w:multiLevelType w:val="hybridMultilevel"/>
    <w:tmpl w:val="21762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C202BBE"/>
    <w:multiLevelType w:val="hybridMultilevel"/>
    <w:tmpl w:val="86143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E5719"/>
    <w:multiLevelType w:val="hybridMultilevel"/>
    <w:tmpl w:val="3266E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1C3335C"/>
    <w:multiLevelType w:val="hybridMultilevel"/>
    <w:tmpl w:val="C6482AFA"/>
    <w:lvl w:ilvl="0" w:tplc="B65C9F1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47F91"/>
    <w:multiLevelType w:val="hybridMultilevel"/>
    <w:tmpl w:val="6E4CC458"/>
    <w:lvl w:ilvl="0" w:tplc="E708D6E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715195"/>
    <w:multiLevelType w:val="hybridMultilevel"/>
    <w:tmpl w:val="0E1E1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73235F5"/>
    <w:multiLevelType w:val="hybridMultilevel"/>
    <w:tmpl w:val="7A3E3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26F4EC9"/>
    <w:multiLevelType w:val="hybridMultilevel"/>
    <w:tmpl w:val="A1DAAB3E"/>
    <w:lvl w:ilvl="0" w:tplc="C83ACB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F29D8"/>
    <w:multiLevelType w:val="hybridMultilevel"/>
    <w:tmpl w:val="14045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87579BC"/>
    <w:multiLevelType w:val="hybridMultilevel"/>
    <w:tmpl w:val="5B82F634"/>
    <w:lvl w:ilvl="0" w:tplc="E31679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7794E"/>
    <w:multiLevelType w:val="hybridMultilevel"/>
    <w:tmpl w:val="CD3C2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3673F3B"/>
    <w:multiLevelType w:val="hybridMultilevel"/>
    <w:tmpl w:val="0AF6C7FE"/>
    <w:lvl w:ilvl="0" w:tplc="E708D6E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439383B"/>
    <w:multiLevelType w:val="hybridMultilevel"/>
    <w:tmpl w:val="CEEE00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C52C16"/>
    <w:multiLevelType w:val="hybridMultilevel"/>
    <w:tmpl w:val="A91896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DB27CB"/>
    <w:multiLevelType w:val="hybridMultilevel"/>
    <w:tmpl w:val="9D54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6D9F4862"/>
    <w:multiLevelType w:val="hybridMultilevel"/>
    <w:tmpl w:val="21482852"/>
    <w:lvl w:ilvl="0" w:tplc="C83ACB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B114E"/>
    <w:multiLevelType w:val="hybridMultilevel"/>
    <w:tmpl w:val="9E9C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2A14917"/>
    <w:multiLevelType w:val="hybridMultilevel"/>
    <w:tmpl w:val="8E70F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9C1B8C"/>
    <w:multiLevelType w:val="hybridMultilevel"/>
    <w:tmpl w:val="7FEE4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34846"/>
    <w:multiLevelType w:val="hybridMultilevel"/>
    <w:tmpl w:val="BEF07810"/>
    <w:lvl w:ilvl="0" w:tplc="DFB60D2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A2541D3"/>
    <w:multiLevelType w:val="multilevel"/>
    <w:tmpl w:val="DC46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5" w15:restartNumberingAfterBreak="0">
    <w:nsid w:val="7BC51731"/>
    <w:multiLevelType w:val="hybridMultilevel"/>
    <w:tmpl w:val="D1EAA5C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E792F41"/>
    <w:multiLevelType w:val="hybridMultilevel"/>
    <w:tmpl w:val="EC50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EAB47C8"/>
    <w:multiLevelType w:val="hybridMultilevel"/>
    <w:tmpl w:val="F238E1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26"/>
  </w:num>
  <w:num w:numId="6">
    <w:abstractNumId w:val="14"/>
  </w:num>
  <w:num w:numId="7">
    <w:abstractNumId w:val="20"/>
  </w:num>
  <w:num w:numId="8">
    <w:abstractNumId w:val="2"/>
  </w:num>
  <w:num w:numId="9">
    <w:abstractNumId w:val="6"/>
  </w:num>
  <w:num w:numId="10">
    <w:abstractNumId w:val="8"/>
  </w:num>
  <w:num w:numId="11">
    <w:abstractNumId w:val="15"/>
  </w:num>
  <w:num w:numId="12">
    <w:abstractNumId w:val="3"/>
  </w:num>
  <w:num w:numId="13">
    <w:abstractNumId w:val="12"/>
  </w:num>
  <w:num w:numId="14">
    <w:abstractNumId w:val="18"/>
  </w:num>
  <w:num w:numId="15">
    <w:abstractNumId w:val="11"/>
  </w:num>
  <w:num w:numId="16">
    <w:abstractNumId w:val="19"/>
  </w:num>
  <w:num w:numId="17">
    <w:abstractNumId w:val="27"/>
  </w:num>
  <w:num w:numId="18">
    <w:abstractNumId w:val="21"/>
  </w:num>
  <w:num w:numId="19">
    <w:abstractNumId w:val="9"/>
  </w:num>
  <w:num w:numId="20">
    <w:abstractNumId w:val="4"/>
  </w:num>
  <w:num w:numId="21">
    <w:abstractNumId w:val="23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DA"/>
    <w:rsid w:val="000041C8"/>
    <w:rsid w:val="00005A52"/>
    <w:rsid w:val="0001016D"/>
    <w:rsid w:val="000119F8"/>
    <w:rsid w:val="000122DE"/>
    <w:rsid w:val="00026482"/>
    <w:rsid w:val="00034A97"/>
    <w:rsid w:val="00034DB3"/>
    <w:rsid w:val="000375AA"/>
    <w:rsid w:val="0004309F"/>
    <w:rsid w:val="0005224D"/>
    <w:rsid w:val="000527AC"/>
    <w:rsid w:val="000551FE"/>
    <w:rsid w:val="00061C08"/>
    <w:rsid w:val="000663DE"/>
    <w:rsid w:val="00066556"/>
    <w:rsid w:val="000665C8"/>
    <w:rsid w:val="0006690C"/>
    <w:rsid w:val="000708F2"/>
    <w:rsid w:val="00070907"/>
    <w:rsid w:val="00073E74"/>
    <w:rsid w:val="000758F9"/>
    <w:rsid w:val="0007787D"/>
    <w:rsid w:val="000821E4"/>
    <w:rsid w:val="000846E5"/>
    <w:rsid w:val="000900BC"/>
    <w:rsid w:val="00092DFC"/>
    <w:rsid w:val="00092F45"/>
    <w:rsid w:val="000A05A5"/>
    <w:rsid w:val="000B475C"/>
    <w:rsid w:val="000C501B"/>
    <w:rsid w:val="000D1D63"/>
    <w:rsid w:val="000D3AC2"/>
    <w:rsid w:val="000E0345"/>
    <w:rsid w:val="000E3AD3"/>
    <w:rsid w:val="000E3F65"/>
    <w:rsid w:val="000E5BED"/>
    <w:rsid w:val="000E6810"/>
    <w:rsid w:val="000F3931"/>
    <w:rsid w:val="000F7D6A"/>
    <w:rsid w:val="00100DCD"/>
    <w:rsid w:val="00102F59"/>
    <w:rsid w:val="00107B0D"/>
    <w:rsid w:val="00125401"/>
    <w:rsid w:val="00125943"/>
    <w:rsid w:val="00125AEE"/>
    <w:rsid w:val="001463BF"/>
    <w:rsid w:val="0014684C"/>
    <w:rsid w:val="001549CA"/>
    <w:rsid w:val="00174639"/>
    <w:rsid w:val="001803EE"/>
    <w:rsid w:val="00185E7C"/>
    <w:rsid w:val="001868DD"/>
    <w:rsid w:val="00186DB7"/>
    <w:rsid w:val="001915BE"/>
    <w:rsid w:val="001A061E"/>
    <w:rsid w:val="001B2270"/>
    <w:rsid w:val="001B7A37"/>
    <w:rsid w:val="001C1C98"/>
    <w:rsid w:val="001C2741"/>
    <w:rsid w:val="001C41BE"/>
    <w:rsid w:val="001D1B61"/>
    <w:rsid w:val="001D7D32"/>
    <w:rsid w:val="001E0846"/>
    <w:rsid w:val="001E1A53"/>
    <w:rsid w:val="001E4305"/>
    <w:rsid w:val="001F0038"/>
    <w:rsid w:val="001F30F1"/>
    <w:rsid w:val="001F5441"/>
    <w:rsid w:val="00210AFE"/>
    <w:rsid w:val="00210B93"/>
    <w:rsid w:val="00212994"/>
    <w:rsid w:val="002132CC"/>
    <w:rsid w:val="00217FD2"/>
    <w:rsid w:val="00223E1A"/>
    <w:rsid w:val="00224586"/>
    <w:rsid w:val="002309CA"/>
    <w:rsid w:val="00231C89"/>
    <w:rsid w:val="00234D4D"/>
    <w:rsid w:val="0024187D"/>
    <w:rsid w:val="002759A0"/>
    <w:rsid w:val="00280776"/>
    <w:rsid w:val="00287065"/>
    <w:rsid w:val="002875E9"/>
    <w:rsid w:val="002A2892"/>
    <w:rsid w:val="002A2F3E"/>
    <w:rsid w:val="002B05E0"/>
    <w:rsid w:val="002B562E"/>
    <w:rsid w:val="002C0038"/>
    <w:rsid w:val="002C67CC"/>
    <w:rsid w:val="002D122C"/>
    <w:rsid w:val="002E3B38"/>
    <w:rsid w:val="002F3064"/>
    <w:rsid w:val="002F468B"/>
    <w:rsid w:val="002F72C2"/>
    <w:rsid w:val="003006BF"/>
    <w:rsid w:val="003029A1"/>
    <w:rsid w:val="00310085"/>
    <w:rsid w:val="003108FE"/>
    <w:rsid w:val="00313724"/>
    <w:rsid w:val="00314ECB"/>
    <w:rsid w:val="0031614D"/>
    <w:rsid w:val="00316355"/>
    <w:rsid w:val="003166C8"/>
    <w:rsid w:val="00325E5B"/>
    <w:rsid w:val="00327977"/>
    <w:rsid w:val="003310F4"/>
    <w:rsid w:val="0034134C"/>
    <w:rsid w:val="0034259A"/>
    <w:rsid w:val="0034282F"/>
    <w:rsid w:val="00343AB3"/>
    <w:rsid w:val="003519C9"/>
    <w:rsid w:val="003651F5"/>
    <w:rsid w:val="003804FD"/>
    <w:rsid w:val="00382303"/>
    <w:rsid w:val="00382DA7"/>
    <w:rsid w:val="003932D0"/>
    <w:rsid w:val="003958FD"/>
    <w:rsid w:val="003A4094"/>
    <w:rsid w:val="003B5DB7"/>
    <w:rsid w:val="003B78DA"/>
    <w:rsid w:val="003C1F9B"/>
    <w:rsid w:val="003C4A8A"/>
    <w:rsid w:val="003D19ED"/>
    <w:rsid w:val="003D4AE2"/>
    <w:rsid w:val="003E3ECB"/>
    <w:rsid w:val="003E49DC"/>
    <w:rsid w:val="003F14A7"/>
    <w:rsid w:val="003F6640"/>
    <w:rsid w:val="00410E19"/>
    <w:rsid w:val="0041445E"/>
    <w:rsid w:val="00415B38"/>
    <w:rsid w:val="004212F7"/>
    <w:rsid w:val="004245A2"/>
    <w:rsid w:val="00433E7D"/>
    <w:rsid w:val="00440F40"/>
    <w:rsid w:val="00442272"/>
    <w:rsid w:val="0044248F"/>
    <w:rsid w:val="00445E7C"/>
    <w:rsid w:val="00450DF8"/>
    <w:rsid w:val="00451765"/>
    <w:rsid w:val="00461978"/>
    <w:rsid w:val="00463E3F"/>
    <w:rsid w:val="00464C2F"/>
    <w:rsid w:val="00474BB9"/>
    <w:rsid w:val="0048653B"/>
    <w:rsid w:val="00494934"/>
    <w:rsid w:val="004A182B"/>
    <w:rsid w:val="004A3316"/>
    <w:rsid w:val="004B32A8"/>
    <w:rsid w:val="004B7512"/>
    <w:rsid w:val="004C2B93"/>
    <w:rsid w:val="004C4A93"/>
    <w:rsid w:val="004C7BDF"/>
    <w:rsid w:val="004C7E02"/>
    <w:rsid w:val="004D0C87"/>
    <w:rsid w:val="004D32DB"/>
    <w:rsid w:val="004D59C5"/>
    <w:rsid w:val="0050096E"/>
    <w:rsid w:val="005048FC"/>
    <w:rsid w:val="005157C3"/>
    <w:rsid w:val="0051648E"/>
    <w:rsid w:val="00517F75"/>
    <w:rsid w:val="00525E1D"/>
    <w:rsid w:val="0053282A"/>
    <w:rsid w:val="0053301D"/>
    <w:rsid w:val="0053678C"/>
    <w:rsid w:val="0054204E"/>
    <w:rsid w:val="005463D0"/>
    <w:rsid w:val="00566664"/>
    <w:rsid w:val="00571D4A"/>
    <w:rsid w:val="00577840"/>
    <w:rsid w:val="00580DDA"/>
    <w:rsid w:val="00581AC4"/>
    <w:rsid w:val="005823D5"/>
    <w:rsid w:val="0059263D"/>
    <w:rsid w:val="005B4EDE"/>
    <w:rsid w:val="005B6153"/>
    <w:rsid w:val="005B676E"/>
    <w:rsid w:val="005B7052"/>
    <w:rsid w:val="005B735B"/>
    <w:rsid w:val="005C1E8F"/>
    <w:rsid w:val="005C41D9"/>
    <w:rsid w:val="005D0C03"/>
    <w:rsid w:val="005D2C8C"/>
    <w:rsid w:val="005D392B"/>
    <w:rsid w:val="005F44C8"/>
    <w:rsid w:val="0060368E"/>
    <w:rsid w:val="0060696E"/>
    <w:rsid w:val="00612A5C"/>
    <w:rsid w:val="00613425"/>
    <w:rsid w:val="00616E37"/>
    <w:rsid w:val="00620ADC"/>
    <w:rsid w:val="00630960"/>
    <w:rsid w:val="00633490"/>
    <w:rsid w:val="00640955"/>
    <w:rsid w:val="006500D7"/>
    <w:rsid w:val="00650AD0"/>
    <w:rsid w:val="00651CD6"/>
    <w:rsid w:val="00655342"/>
    <w:rsid w:val="00660900"/>
    <w:rsid w:val="00661103"/>
    <w:rsid w:val="00662A0F"/>
    <w:rsid w:val="00666AF1"/>
    <w:rsid w:val="00667751"/>
    <w:rsid w:val="00672CDB"/>
    <w:rsid w:val="00674553"/>
    <w:rsid w:val="00681E6B"/>
    <w:rsid w:val="00682A5B"/>
    <w:rsid w:val="006839BB"/>
    <w:rsid w:val="00697FC6"/>
    <w:rsid w:val="006A4D8E"/>
    <w:rsid w:val="006B2D54"/>
    <w:rsid w:val="006C19B4"/>
    <w:rsid w:val="006C38F8"/>
    <w:rsid w:val="006C3FF5"/>
    <w:rsid w:val="006D5A48"/>
    <w:rsid w:val="006E016B"/>
    <w:rsid w:val="006F5A47"/>
    <w:rsid w:val="0070216E"/>
    <w:rsid w:val="00703A3E"/>
    <w:rsid w:val="00713EFE"/>
    <w:rsid w:val="00720F46"/>
    <w:rsid w:val="00733672"/>
    <w:rsid w:val="00735825"/>
    <w:rsid w:val="00753340"/>
    <w:rsid w:val="007559FD"/>
    <w:rsid w:val="007660CC"/>
    <w:rsid w:val="00776D8D"/>
    <w:rsid w:val="00777E73"/>
    <w:rsid w:val="0078187E"/>
    <w:rsid w:val="00782104"/>
    <w:rsid w:val="007847DF"/>
    <w:rsid w:val="00787C24"/>
    <w:rsid w:val="0079136B"/>
    <w:rsid w:val="0079153C"/>
    <w:rsid w:val="007A4AFF"/>
    <w:rsid w:val="007A590A"/>
    <w:rsid w:val="007B3C66"/>
    <w:rsid w:val="007B7C38"/>
    <w:rsid w:val="007C00AB"/>
    <w:rsid w:val="007C0D0D"/>
    <w:rsid w:val="007D08D1"/>
    <w:rsid w:val="007D4188"/>
    <w:rsid w:val="007D4FAF"/>
    <w:rsid w:val="007E0077"/>
    <w:rsid w:val="007E25B9"/>
    <w:rsid w:val="007F419B"/>
    <w:rsid w:val="007F5F45"/>
    <w:rsid w:val="007F6515"/>
    <w:rsid w:val="00801E50"/>
    <w:rsid w:val="008020A7"/>
    <w:rsid w:val="00810E14"/>
    <w:rsid w:val="00817D7A"/>
    <w:rsid w:val="008442AF"/>
    <w:rsid w:val="00844D44"/>
    <w:rsid w:val="008457D0"/>
    <w:rsid w:val="00846865"/>
    <w:rsid w:val="00847987"/>
    <w:rsid w:val="00854BFC"/>
    <w:rsid w:val="008564D7"/>
    <w:rsid w:val="00865AD2"/>
    <w:rsid w:val="00865EC3"/>
    <w:rsid w:val="008665FF"/>
    <w:rsid w:val="0087244F"/>
    <w:rsid w:val="00876AC6"/>
    <w:rsid w:val="0088517B"/>
    <w:rsid w:val="0088633E"/>
    <w:rsid w:val="008922A1"/>
    <w:rsid w:val="008946A1"/>
    <w:rsid w:val="008B64FA"/>
    <w:rsid w:val="008C34B3"/>
    <w:rsid w:val="008C398E"/>
    <w:rsid w:val="008C3B28"/>
    <w:rsid w:val="008D0B84"/>
    <w:rsid w:val="008D12FA"/>
    <w:rsid w:val="008D461D"/>
    <w:rsid w:val="008E1EA2"/>
    <w:rsid w:val="008E4B4C"/>
    <w:rsid w:val="008E61FD"/>
    <w:rsid w:val="008F3660"/>
    <w:rsid w:val="0090115E"/>
    <w:rsid w:val="0090612B"/>
    <w:rsid w:val="0092188C"/>
    <w:rsid w:val="00925253"/>
    <w:rsid w:val="00942A1F"/>
    <w:rsid w:val="009433AE"/>
    <w:rsid w:val="00947FAF"/>
    <w:rsid w:val="0095202B"/>
    <w:rsid w:val="00962A17"/>
    <w:rsid w:val="0097013C"/>
    <w:rsid w:val="00984B5E"/>
    <w:rsid w:val="009853AF"/>
    <w:rsid w:val="0098607C"/>
    <w:rsid w:val="00992C20"/>
    <w:rsid w:val="00992F2A"/>
    <w:rsid w:val="0099792E"/>
    <w:rsid w:val="009A2CA5"/>
    <w:rsid w:val="009B2629"/>
    <w:rsid w:val="009C0BB4"/>
    <w:rsid w:val="009C3377"/>
    <w:rsid w:val="009D62C4"/>
    <w:rsid w:val="009E7511"/>
    <w:rsid w:val="00A126B8"/>
    <w:rsid w:val="00A156DA"/>
    <w:rsid w:val="00A16BDB"/>
    <w:rsid w:val="00A26E92"/>
    <w:rsid w:val="00A324B9"/>
    <w:rsid w:val="00A40D6C"/>
    <w:rsid w:val="00A42DC3"/>
    <w:rsid w:val="00A500AF"/>
    <w:rsid w:val="00A5296F"/>
    <w:rsid w:val="00A67F1E"/>
    <w:rsid w:val="00A72EF6"/>
    <w:rsid w:val="00A77F31"/>
    <w:rsid w:val="00A81931"/>
    <w:rsid w:val="00A87C29"/>
    <w:rsid w:val="00AA3F5A"/>
    <w:rsid w:val="00AB57BB"/>
    <w:rsid w:val="00AB787A"/>
    <w:rsid w:val="00AC014F"/>
    <w:rsid w:val="00AC2772"/>
    <w:rsid w:val="00AC5A11"/>
    <w:rsid w:val="00AC5D48"/>
    <w:rsid w:val="00AD26A1"/>
    <w:rsid w:val="00AE3569"/>
    <w:rsid w:val="00AE56BF"/>
    <w:rsid w:val="00AE5B9B"/>
    <w:rsid w:val="00AF5768"/>
    <w:rsid w:val="00AF6DFA"/>
    <w:rsid w:val="00B034D1"/>
    <w:rsid w:val="00B156D9"/>
    <w:rsid w:val="00B16B80"/>
    <w:rsid w:val="00B220C4"/>
    <w:rsid w:val="00B24D4A"/>
    <w:rsid w:val="00B254C3"/>
    <w:rsid w:val="00B26524"/>
    <w:rsid w:val="00B3064F"/>
    <w:rsid w:val="00B30F2A"/>
    <w:rsid w:val="00B327C2"/>
    <w:rsid w:val="00B33559"/>
    <w:rsid w:val="00B35830"/>
    <w:rsid w:val="00B3702C"/>
    <w:rsid w:val="00B454F4"/>
    <w:rsid w:val="00B513B5"/>
    <w:rsid w:val="00B5268D"/>
    <w:rsid w:val="00B55D2C"/>
    <w:rsid w:val="00B61B66"/>
    <w:rsid w:val="00B6279B"/>
    <w:rsid w:val="00B635F5"/>
    <w:rsid w:val="00B64E24"/>
    <w:rsid w:val="00B66465"/>
    <w:rsid w:val="00B67253"/>
    <w:rsid w:val="00B8300B"/>
    <w:rsid w:val="00B83B8B"/>
    <w:rsid w:val="00B86B7C"/>
    <w:rsid w:val="00B950E9"/>
    <w:rsid w:val="00B97EE2"/>
    <w:rsid w:val="00BA09C0"/>
    <w:rsid w:val="00BA736B"/>
    <w:rsid w:val="00BA7F99"/>
    <w:rsid w:val="00BC4303"/>
    <w:rsid w:val="00BD733C"/>
    <w:rsid w:val="00BE1514"/>
    <w:rsid w:val="00BE45E8"/>
    <w:rsid w:val="00BE5C40"/>
    <w:rsid w:val="00BE736C"/>
    <w:rsid w:val="00BF0D15"/>
    <w:rsid w:val="00BF601A"/>
    <w:rsid w:val="00C0562E"/>
    <w:rsid w:val="00C06C21"/>
    <w:rsid w:val="00C1482D"/>
    <w:rsid w:val="00C2195A"/>
    <w:rsid w:val="00C23C1A"/>
    <w:rsid w:val="00C2439B"/>
    <w:rsid w:val="00C3042F"/>
    <w:rsid w:val="00C31A52"/>
    <w:rsid w:val="00C33173"/>
    <w:rsid w:val="00C3508F"/>
    <w:rsid w:val="00C35658"/>
    <w:rsid w:val="00C41C41"/>
    <w:rsid w:val="00C42F7B"/>
    <w:rsid w:val="00C53CB4"/>
    <w:rsid w:val="00C66B21"/>
    <w:rsid w:val="00C92F1B"/>
    <w:rsid w:val="00C95CE1"/>
    <w:rsid w:val="00CB65E7"/>
    <w:rsid w:val="00CD22C0"/>
    <w:rsid w:val="00CF0D19"/>
    <w:rsid w:val="00CF39A6"/>
    <w:rsid w:val="00D04F98"/>
    <w:rsid w:val="00D12BB8"/>
    <w:rsid w:val="00D14097"/>
    <w:rsid w:val="00D14EFE"/>
    <w:rsid w:val="00D16390"/>
    <w:rsid w:val="00D20C8E"/>
    <w:rsid w:val="00D20D75"/>
    <w:rsid w:val="00D212BE"/>
    <w:rsid w:val="00D21A9E"/>
    <w:rsid w:val="00D23060"/>
    <w:rsid w:val="00D26B4A"/>
    <w:rsid w:val="00D309D6"/>
    <w:rsid w:val="00D32627"/>
    <w:rsid w:val="00D33F68"/>
    <w:rsid w:val="00D41588"/>
    <w:rsid w:val="00D44611"/>
    <w:rsid w:val="00D66599"/>
    <w:rsid w:val="00D728F5"/>
    <w:rsid w:val="00D8609A"/>
    <w:rsid w:val="00D9262C"/>
    <w:rsid w:val="00D972CF"/>
    <w:rsid w:val="00DA4099"/>
    <w:rsid w:val="00DA43F0"/>
    <w:rsid w:val="00DB2246"/>
    <w:rsid w:val="00DB4591"/>
    <w:rsid w:val="00DB4FCA"/>
    <w:rsid w:val="00DC2EC6"/>
    <w:rsid w:val="00DC783D"/>
    <w:rsid w:val="00DD0DE2"/>
    <w:rsid w:val="00DE184B"/>
    <w:rsid w:val="00DE7ED9"/>
    <w:rsid w:val="00DF0C57"/>
    <w:rsid w:val="00DF1791"/>
    <w:rsid w:val="00DF2792"/>
    <w:rsid w:val="00DF2D45"/>
    <w:rsid w:val="00DF44B3"/>
    <w:rsid w:val="00DF79C4"/>
    <w:rsid w:val="00E01D5C"/>
    <w:rsid w:val="00E054D4"/>
    <w:rsid w:val="00E204CC"/>
    <w:rsid w:val="00E41F60"/>
    <w:rsid w:val="00E423B9"/>
    <w:rsid w:val="00E464A0"/>
    <w:rsid w:val="00E46C6E"/>
    <w:rsid w:val="00E54FF3"/>
    <w:rsid w:val="00E56E1A"/>
    <w:rsid w:val="00E6730B"/>
    <w:rsid w:val="00E71AAE"/>
    <w:rsid w:val="00E74AF4"/>
    <w:rsid w:val="00E7675B"/>
    <w:rsid w:val="00E83541"/>
    <w:rsid w:val="00E876C2"/>
    <w:rsid w:val="00EA4089"/>
    <w:rsid w:val="00EB4491"/>
    <w:rsid w:val="00EB5320"/>
    <w:rsid w:val="00EB7946"/>
    <w:rsid w:val="00EC0787"/>
    <w:rsid w:val="00ED4253"/>
    <w:rsid w:val="00ED6CC2"/>
    <w:rsid w:val="00EE5E52"/>
    <w:rsid w:val="00EF673D"/>
    <w:rsid w:val="00EF75C4"/>
    <w:rsid w:val="00F1157B"/>
    <w:rsid w:val="00F1466E"/>
    <w:rsid w:val="00F328B5"/>
    <w:rsid w:val="00F3502B"/>
    <w:rsid w:val="00F35891"/>
    <w:rsid w:val="00F4033F"/>
    <w:rsid w:val="00F415D6"/>
    <w:rsid w:val="00F564B7"/>
    <w:rsid w:val="00F61C07"/>
    <w:rsid w:val="00F61CF7"/>
    <w:rsid w:val="00F7001E"/>
    <w:rsid w:val="00F75E8B"/>
    <w:rsid w:val="00F8175D"/>
    <w:rsid w:val="00F81F5C"/>
    <w:rsid w:val="00F83032"/>
    <w:rsid w:val="00F85570"/>
    <w:rsid w:val="00FA2A77"/>
    <w:rsid w:val="00FB20A1"/>
    <w:rsid w:val="00FB3DE8"/>
    <w:rsid w:val="00FC206B"/>
    <w:rsid w:val="00FC588F"/>
    <w:rsid w:val="00FC799E"/>
    <w:rsid w:val="00FE0302"/>
    <w:rsid w:val="00FE21DA"/>
    <w:rsid w:val="00FF0A0E"/>
    <w:rsid w:val="00FF2D97"/>
    <w:rsid w:val="00FF3930"/>
    <w:rsid w:val="00FF512A"/>
    <w:rsid w:val="00FF54C5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A0799"/>
  <w15:chartTrackingRefBased/>
  <w15:docId w15:val="{6419D960-33A4-4E2E-BBE8-0DABA873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E50"/>
    <w:pPr>
      <w:spacing w:afterLines="80" w:after="80" w:line="300" w:lineRule="auto"/>
      <w:jc w:val="both"/>
    </w:pPr>
    <w:rPr>
      <w:rFonts w:ascii="Arial" w:hAnsi="Arial" w:cs="Arial"/>
      <w:noProof/>
      <w:snapToGrid w:val="0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28"/>
      <w:sz w:val="28"/>
      <w:szCs w:val="28"/>
      <w:lang w:val="sk-SK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outlineLvl w:val="2"/>
    </w:pPr>
    <w:rPr>
      <w:b/>
      <w:bCs/>
      <w:color w:val="000000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4"/>
      <w:lang w:val="en-GB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paragraph" w:customStyle="1" w:styleId="ABLOCKPARA">
    <w:name w:val="A BLOCK PARA"/>
    <w:basedOn w:val="Normln"/>
    <w:rPr>
      <w:lang w:val="sk-SK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rPr>
      <w:lang w:val="sk-SK"/>
    </w:r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/>
    </w:rPr>
  </w:style>
  <w:style w:type="paragraph" w:styleId="Zkladntextodsazen">
    <w:name w:val="Body Text Indent"/>
    <w:basedOn w:val="Normln"/>
    <w:semiHidden/>
    <w:rPr>
      <w:rFonts w:ascii="Times New Roman" w:hAnsi="Times New Roman"/>
      <w:sz w:val="24"/>
      <w:szCs w:val="24"/>
    </w:rPr>
  </w:style>
  <w:style w:type="character" w:customStyle="1" w:styleId="bod1">
    <w:name w:val="bod1"/>
    <w:rPr>
      <w:rFonts w:ascii="Arial" w:hAnsi="Arial" w:cs="Arial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18"/>
      <w:szCs w:val="18"/>
      <w:lang w:val="en-GB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Textbubliny1">
    <w:name w:val="Text bubliny1"/>
    <w:basedOn w:val="Normln"/>
    <w:rPr>
      <w:rFonts w:ascii="Times New Roman" w:hAnsi="Times New Roman"/>
      <w:sz w:val="16"/>
      <w:szCs w:val="16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paragraph" w:customStyle="1" w:styleId="Pedmtkomente1">
    <w:name w:val="Předmět komentáře1"/>
    <w:basedOn w:val="Textkomente"/>
    <w:next w:val="Textkomente"/>
    <w:rPr>
      <w:b/>
      <w:bCs/>
    </w:rPr>
  </w:style>
  <w:style w:type="paragraph" w:styleId="Prosttext">
    <w:name w:val="Plain Text"/>
    <w:basedOn w:val="Normln"/>
    <w:semiHidden/>
    <w:rPr>
      <w:rFonts w:ascii="Courier New" w:hAnsi="Courier New" w:cs="Courier New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</w:rPr>
  </w:style>
  <w:style w:type="paragraph" w:customStyle="1" w:styleId="COVNormal">
    <w:name w:val="COV_Normal"/>
    <w:basedOn w:val="Normln"/>
    <w:pPr>
      <w:spacing w:before="120" w:after="120"/>
      <w:ind w:left="2279"/>
    </w:pPr>
  </w:style>
  <w:style w:type="paragraph" w:customStyle="1" w:styleId="default">
    <w:name w:val="default"/>
    <w:basedOn w:val="Normln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6E1A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F40"/>
    <w:rPr>
      <w:b/>
      <w:bCs/>
    </w:rPr>
  </w:style>
  <w:style w:type="character" w:customStyle="1" w:styleId="TextkomenteChar">
    <w:name w:val="Text komentáře Char"/>
    <w:link w:val="Textkomente"/>
    <w:uiPriority w:val="99"/>
    <w:rsid w:val="00440F40"/>
    <w:rPr>
      <w:rFonts w:ascii="Book Antiqua" w:hAnsi="Book Antiqua"/>
      <w:snapToGrid w:val="0"/>
      <w:lang w:val="en-US" w:eastAsia="en-US"/>
    </w:rPr>
  </w:style>
  <w:style w:type="character" w:customStyle="1" w:styleId="PedmtkomenteChar">
    <w:name w:val="Předmět komentáře Char"/>
    <w:link w:val="Pedmtkomente"/>
    <w:rsid w:val="00440F40"/>
    <w:rPr>
      <w:rFonts w:ascii="Book Antiqua" w:hAnsi="Book Antiqua"/>
      <w:snapToGrid w:val="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83B8B"/>
    <w:pPr>
      <w:ind w:left="720"/>
      <w:contextualSpacing/>
    </w:pPr>
  </w:style>
  <w:style w:type="paragraph" w:styleId="Revize">
    <w:name w:val="Revision"/>
    <w:hidden/>
    <w:uiPriority w:val="99"/>
    <w:semiHidden/>
    <w:rsid w:val="007660CC"/>
    <w:rPr>
      <w:rFonts w:ascii="Book Antiqua" w:hAnsi="Book Antiqua"/>
      <w:snapToGrid w:val="0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DB3"/>
    <w:rPr>
      <w:rFonts w:ascii="Calibri" w:eastAsia="Calibri" w:hAnsi="Calibri"/>
      <w:snapToGrid/>
      <w:lang w:eastAsia="en-GB"/>
    </w:rPr>
  </w:style>
  <w:style w:type="character" w:customStyle="1" w:styleId="TextpoznpodarouChar">
    <w:name w:val="Text pozn. pod čarou Char"/>
    <w:link w:val="Textpoznpodarou"/>
    <w:uiPriority w:val="99"/>
    <w:rsid w:val="00034DB3"/>
    <w:rPr>
      <w:rFonts w:ascii="Calibri" w:eastAsia="Calibri" w:hAnsi="Calibri"/>
      <w:lang w:val="en-US" w:eastAsia="en-GB"/>
    </w:rPr>
  </w:style>
  <w:style w:type="character" w:styleId="Znakapoznpodarou">
    <w:name w:val="footnote reference"/>
    <w:uiPriority w:val="99"/>
    <w:semiHidden/>
    <w:unhideWhenUsed/>
    <w:rsid w:val="00034DB3"/>
    <w:rPr>
      <w:vertAlign w:val="superscript"/>
    </w:rPr>
  </w:style>
  <w:style w:type="character" w:customStyle="1" w:styleId="ZhlavChar">
    <w:name w:val="Záhlaví Char"/>
    <w:link w:val="Zhlav"/>
    <w:semiHidden/>
    <w:rsid w:val="003006BF"/>
    <w:rPr>
      <w:rFonts w:ascii="Book Antiqua" w:hAnsi="Book Antiqua"/>
      <w:snapToGrid w:val="0"/>
      <w:sz w:val="22"/>
      <w:szCs w:val="22"/>
      <w:lang w:val="en-US" w:eastAsia="en-US"/>
    </w:rPr>
  </w:style>
  <w:style w:type="paragraph" w:styleId="Bezmezer">
    <w:name w:val="No Spacing"/>
    <w:uiPriority w:val="1"/>
    <w:qFormat/>
    <w:rsid w:val="0098607C"/>
    <w:pPr>
      <w:spacing w:afterLines="80"/>
      <w:jc w:val="both"/>
    </w:pPr>
    <w:rPr>
      <w:rFonts w:ascii="Arial" w:hAnsi="Arial" w:cs="Arial"/>
      <w:noProof/>
      <w:snapToGrid w:val="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A2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147">
          <w:marLeft w:val="0"/>
          <w:marRight w:val="0"/>
          <w:marTop w:val="90"/>
          <w:marBottom w:val="75"/>
          <w:divBdr>
            <w:top w:val="dashed" w:sz="6" w:space="5" w:color="B2B2B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3532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nture.com/us-en/insights/banking/consumer-study-making-digital-banking-more-huma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accenture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marketa.cinkova@aspen.p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sroom.accenture.com/news/rapid-shift-to-digital-banking-during-covid-19-accelerating-erosion-in-consumer-trust-accenture-report-finds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petr.jarkovsky@aspen.p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B623-A4F9-460F-9CA6-6EF20AE4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6775</CharactersWithSpaces>
  <SharedDoc>false</SharedDoc>
  <HLinks>
    <vt:vector size="18" baseType="variant">
      <vt:variant>
        <vt:i4>7667734</vt:i4>
      </vt:variant>
      <vt:variant>
        <vt:i4>6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http://www.accenture.com/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Ciňková Markéta</dc:creator>
  <cp:keywords/>
  <cp:lastModifiedBy>Šárka</cp:lastModifiedBy>
  <cp:revision>2</cp:revision>
  <cp:lastPrinted>2021-01-19T09:54:00Z</cp:lastPrinted>
  <dcterms:created xsi:type="dcterms:W3CDTF">2021-01-26T13:25:00Z</dcterms:created>
  <dcterms:modified xsi:type="dcterms:W3CDTF">2021-01-26T13:25:00Z</dcterms:modified>
</cp:coreProperties>
</file>