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94DF7C" w14:textId="661DC2F1" w:rsidR="004C7BDF" w:rsidRDefault="004C7BDF" w:rsidP="00713EFE">
      <w:pPr>
        <w:pStyle w:val="Zkladntext"/>
        <w:spacing w:after="192"/>
        <w:jc w:val="left"/>
        <w:rPr>
          <w:sz w:val="28"/>
          <w:szCs w:val="28"/>
          <w:lang w:val="cs-CZ"/>
        </w:rPr>
      </w:pPr>
    </w:p>
    <w:p w14:paraId="634E6752" w14:textId="47EE3CA8" w:rsidR="002132CC" w:rsidRPr="00BA736B" w:rsidRDefault="002132CC" w:rsidP="00713EFE">
      <w:pPr>
        <w:pStyle w:val="Zkladntext"/>
        <w:spacing w:after="192"/>
        <w:jc w:val="left"/>
        <w:rPr>
          <w:sz w:val="28"/>
          <w:szCs w:val="28"/>
          <w:lang w:val="cs-CZ"/>
        </w:rPr>
      </w:pPr>
      <w:r w:rsidRPr="00BA736B">
        <w:rPr>
          <w:sz w:val="28"/>
          <w:szCs w:val="28"/>
          <w:lang w:val="cs-CZ"/>
        </w:rPr>
        <w:t>TISKOVÁ ZPRÁVA</w:t>
      </w:r>
      <w:r w:rsidRPr="00BA736B">
        <w:rPr>
          <w:sz w:val="28"/>
          <w:szCs w:val="28"/>
          <w:lang w:val="cs-CZ"/>
        </w:rPr>
        <w:tab/>
      </w:r>
      <w:r w:rsidRPr="00BA736B">
        <w:rPr>
          <w:sz w:val="28"/>
          <w:szCs w:val="28"/>
          <w:lang w:val="cs-CZ"/>
        </w:rPr>
        <w:tab/>
      </w:r>
      <w:r w:rsidRPr="00BA736B">
        <w:rPr>
          <w:sz w:val="28"/>
          <w:szCs w:val="28"/>
          <w:lang w:val="cs-CZ"/>
        </w:rPr>
        <w:tab/>
      </w:r>
      <w:r w:rsidRPr="00BA736B">
        <w:rPr>
          <w:sz w:val="28"/>
          <w:szCs w:val="28"/>
          <w:lang w:val="cs-CZ"/>
        </w:rPr>
        <w:tab/>
      </w:r>
      <w:r w:rsidRPr="00BA736B">
        <w:rPr>
          <w:sz w:val="28"/>
          <w:szCs w:val="28"/>
          <w:lang w:val="cs-CZ"/>
        </w:rPr>
        <w:tab/>
      </w:r>
      <w:r w:rsidRPr="00BA736B">
        <w:rPr>
          <w:sz w:val="28"/>
          <w:szCs w:val="28"/>
          <w:lang w:val="cs-CZ"/>
        </w:rPr>
        <w:tab/>
      </w:r>
      <w:r w:rsidRPr="00BA736B">
        <w:rPr>
          <w:sz w:val="28"/>
          <w:szCs w:val="28"/>
          <w:lang w:val="cs-CZ"/>
        </w:rPr>
        <w:tab/>
      </w:r>
      <w:r w:rsidR="00BE3A27">
        <w:rPr>
          <w:sz w:val="28"/>
          <w:szCs w:val="28"/>
          <w:lang w:val="cs-CZ"/>
        </w:rPr>
        <w:t>29</w:t>
      </w:r>
      <w:r w:rsidR="0098607C">
        <w:rPr>
          <w:sz w:val="28"/>
          <w:szCs w:val="28"/>
          <w:lang w:val="cs-CZ"/>
        </w:rPr>
        <w:t xml:space="preserve">. </w:t>
      </w:r>
      <w:r w:rsidR="00BE3A27">
        <w:rPr>
          <w:sz w:val="28"/>
          <w:szCs w:val="28"/>
          <w:lang w:val="cs-CZ"/>
        </w:rPr>
        <w:t>1</w:t>
      </w:r>
      <w:r w:rsidR="0098607C">
        <w:rPr>
          <w:sz w:val="28"/>
          <w:szCs w:val="28"/>
          <w:lang w:val="cs-CZ"/>
        </w:rPr>
        <w:t>. 202</w:t>
      </w:r>
      <w:r w:rsidR="004D4847">
        <w:rPr>
          <w:sz w:val="28"/>
          <w:szCs w:val="28"/>
          <w:lang w:val="cs-CZ"/>
        </w:rPr>
        <w:t>1</w:t>
      </w:r>
    </w:p>
    <w:p w14:paraId="51DE955F" w14:textId="77777777" w:rsidR="009C3377" w:rsidRPr="00BA736B" w:rsidRDefault="009C3377" w:rsidP="00512DDE">
      <w:pPr>
        <w:pStyle w:val="Bezmezer"/>
        <w:spacing w:after="192"/>
      </w:pPr>
    </w:p>
    <w:p w14:paraId="63153C85" w14:textId="77934B06" w:rsidR="002875E9" w:rsidRPr="002875E9" w:rsidRDefault="0024567C" w:rsidP="00713EFE">
      <w:pPr>
        <w:spacing w:before="280" w:after="192"/>
        <w:rPr>
          <w:b/>
          <w:bCs/>
          <w:sz w:val="24"/>
          <w:szCs w:val="24"/>
        </w:rPr>
      </w:pPr>
      <w:r w:rsidRPr="0024567C">
        <w:rPr>
          <w:b/>
          <w:bCs/>
          <w:sz w:val="24"/>
          <w:szCs w:val="24"/>
        </w:rPr>
        <w:t xml:space="preserve">Evropské společnosti, které urychlují digitální i udržitelný </w:t>
      </w:r>
      <w:r>
        <w:rPr>
          <w:b/>
          <w:bCs/>
          <w:sz w:val="24"/>
          <w:szCs w:val="24"/>
        </w:rPr>
        <w:t>rozvoj</w:t>
      </w:r>
      <w:r w:rsidRPr="0024567C">
        <w:rPr>
          <w:b/>
          <w:bCs/>
          <w:sz w:val="24"/>
          <w:szCs w:val="24"/>
        </w:rPr>
        <w:t xml:space="preserve">, se rychleji zotaví z krize </w:t>
      </w:r>
      <w:r>
        <w:rPr>
          <w:b/>
          <w:bCs/>
          <w:sz w:val="24"/>
          <w:szCs w:val="24"/>
        </w:rPr>
        <w:t>covid</w:t>
      </w:r>
      <w:r w:rsidRPr="0024567C">
        <w:rPr>
          <w:b/>
          <w:bCs/>
          <w:sz w:val="24"/>
          <w:szCs w:val="24"/>
        </w:rPr>
        <w:t>-19</w:t>
      </w:r>
    </w:p>
    <w:p w14:paraId="40BFA072" w14:textId="2AAB4845" w:rsidR="002875E9" w:rsidRDefault="0024567C" w:rsidP="00713EFE">
      <w:pPr>
        <w:spacing w:before="280" w:after="192"/>
        <w:rPr>
          <w:b/>
          <w:bCs/>
        </w:rPr>
      </w:pPr>
      <w:r>
        <w:rPr>
          <w:b/>
          <w:bCs/>
        </w:rPr>
        <w:t xml:space="preserve">Podle průzkumu společnosti Accenture se dá očekávat </w:t>
      </w:r>
      <w:r w:rsidRPr="0024567C">
        <w:rPr>
          <w:b/>
          <w:bCs/>
        </w:rPr>
        <w:t xml:space="preserve">oživení v průměru </w:t>
      </w:r>
      <w:r>
        <w:rPr>
          <w:b/>
          <w:bCs/>
        </w:rPr>
        <w:t>do</w:t>
      </w:r>
      <w:r w:rsidRPr="0024567C">
        <w:rPr>
          <w:b/>
          <w:bCs/>
        </w:rPr>
        <w:t xml:space="preserve"> 18 měsíců</w:t>
      </w:r>
    </w:p>
    <w:p w14:paraId="0800523E" w14:textId="77777777" w:rsidR="00512DDE" w:rsidRPr="002875E9" w:rsidRDefault="00512DDE" w:rsidP="00512DDE">
      <w:pPr>
        <w:pStyle w:val="Bezmezer"/>
        <w:spacing w:after="192"/>
      </w:pPr>
    </w:p>
    <w:p w14:paraId="127AFEFF" w14:textId="6E818A7E" w:rsidR="002875E9" w:rsidRDefault="0024567C" w:rsidP="00512DDE">
      <w:pPr>
        <w:spacing w:afterLines="100" w:after="240"/>
      </w:pPr>
      <w:r w:rsidRPr="0024567C">
        <w:t xml:space="preserve">Evropské společnosti, které </w:t>
      </w:r>
      <w:r w:rsidR="00F57F4F">
        <w:t>urychlí</w:t>
      </w:r>
      <w:r w:rsidRPr="0024567C">
        <w:t xml:space="preserve"> přechod v oblasti digitálních technologií a udržitelnosti, se podle nové zprávy společnosti Accenture </w:t>
      </w:r>
      <w:r w:rsidR="001A06D9">
        <w:t>r</w:t>
      </w:r>
      <w:r w:rsidRPr="0024567C">
        <w:t xml:space="preserve">ychleji zotaví z krize </w:t>
      </w:r>
      <w:r>
        <w:t>covid</w:t>
      </w:r>
      <w:r w:rsidRPr="0024567C">
        <w:t>-19.</w:t>
      </w:r>
      <w:r w:rsidR="00F57F4F">
        <w:t xml:space="preserve"> </w:t>
      </w:r>
      <w:r w:rsidR="00D20514">
        <w:t>Zpráva</w:t>
      </w:r>
      <w:r w:rsidR="00F57F4F" w:rsidRPr="00F57F4F">
        <w:rPr>
          <w:lang w:val="en-US"/>
        </w:rPr>
        <w:t xml:space="preserve"> </w:t>
      </w:r>
      <w:hyperlink r:id="rId8" w:history="1">
        <w:r w:rsidR="00F57F4F" w:rsidRPr="001A06D9">
          <w:rPr>
            <w:rStyle w:val="Hypertextovodkaz"/>
          </w:rPr>
          <w:t xml:space="preserve">European Double Up: </w:t>
        </w:r>
        <w:r w:rsidR="0082025E" w:rsidRPr="001A06D9">
          <w:rPr>
            <w:rStyle w:val="Hypertextovodkaz"/>
          </w:rPr>
          <w:t xml:space="preserve">dvojitá </w:t>
        </w:r>
        <w:r w:rsidR="00F57F4F" w:rsidRPr="001A06D9">
          <w:rPr>
            <w:rStyle w:val="Hypertextovodkaz"/>
          </w:rPr>
          <w:t>strategie, která posílí konkurenceschopnost</w:t>
        </w:r>
      </w:hyperlink>
      <w:r w:rsidR="00F57F4F" w:rsidRPr="00F57F4F">
        <w:t xml:space="preserve">, </w:t>
      </w:r>
      <w:r w:rsidR="00512DDE">
        <w:t>představená</w:t>
      </w:r>
      <w:r w:rsidR="00F57F4F">
        <w:t xml:space="preserve"> během ekonomického fóra v</w:t>
      </w:r>
      <w:r w:rsidR="00BC64A1">
        <w:t> </w:t>
      </w:r>
      <w:r w:rsidR="00F57F4F">
        <w:t>Davosu</w:t>
      </w:r>
      <w:r w:rsidR="00BC64A1">
        <w:t xml:space="preserve">, </w:t>
      </w:r>
      <w:r w:rsidR="00F57F4F">
        <w:t xml:space="preserve">poukazuje na to, </w:t>
      </w:r>
      <w:r w:rsidR="00F57F4F" w:rsidRPr="00F57F4F">
        <w:t>že evropští podnikatelé očekávají návrat k předpandemické úrovni zisku v průměru za 18 měsíců.</w:t>
      </w:r>
    </w:p>
    <w:p w14:paraId="50BE9BF8" w14:textId="3112F223" w:rsidR="00F57F4F" w:rsidRDefault="00F57F4F" w:rsidP="00303626">
      <w:pPr>
        <w:spacing w:afterLines="160" w:after="384"/>
        <w:contextualSpacing/>
      </w:pPr>
      <w:r w:rsidRPr="00F57F4F">
        <w:t xml:space="preserve">Podle zprávy vedla krize </w:t>
      </w:r>
      <w:r>
        <w:t>covid</w:t>
      </w:r>
      <w:r w:rsidRPr="00F57F4F">
        <w:t>-19 k rozdílům v odolnosti a perspektivách růstu evropských společností:</w:t>
      </w:r>
    </w:p>
    <w:p w14:paraId="3EE008D9" w14:textId="575C01F7" w:rsidR="00F57F4F" w:rsidRDefault="00F57F4F" w:rsidP="00303626">
      <w:pPr>
        <w:numPr>
          <w:ilvl w:val="0"/>
          <w:numId w:val="29"/>
        </w:numPr>
        <w:spacing w:afterLines="160" w:after="384"/>
        <w:contextualSpacing/>
      </w:pPr>
      <w:r w:rsidRPr="001A06D9">
        <w:rPr>
          <w:b/>
          <w:bCs/>
        </w:rPr>
        <w:t>Polovina (49</w:t>
      </w:r>
      <w:r w:rsidR="00884A35" w:rsidRPr="001A06D9">
        <w:rPr>
          <w:b/>
          <w:bCs/>
        </w:rPr>
        <w:t xml:space="preserve"> </w:t>
      </w:r>
      <w:r w:rsidRPr="001A06D9">
        <w:rPr>
          <w:b/>
          <w:bCs/>
        </w:rPr>
        <w:t>%)</w:t>
      </w:r>
      <w:r w:rsidRPr="00F57F4F">
        <w:t xml:space="preserve"> evropských společností hlásí za posledních 12 měsíců pokles tržeb nebo zisku a neočekává </w:t>
      </w:r>
      <w:r w:rsidR="0082025E" w:rsidRPr="00F57F4F">
        <w:t xml:space="preserve">v příštích 12 měsících </w:t>
      </w:r>
      <w:r w:rsidRPr="00F57F4F">
        <w:t>žádné zlepšení.</w:t>
      </w:r>
    </w:p>
    <w:p w14:paraId="41F859A0" w14:textId="45E08088" w:rsidR="00512DDE" w:rsidRDefault="00F57F4F" w:rsidP="00512DDE">
      <w:pPr>
        <w:numPr>
          <w:ilvl w:val="0"/>
          <w:numId w:val="29"/>
        </w:numPr>
        <w:spacing w:afterLines="160" w:after="384"/>
        <w:contextualSpacing/>
      </w:pPr>
      <w:r w:rsidRPr="001A06D9">
        <w:rPr>
          <w:b/>
          <w:bCs/>
        </w:rPr>
        <w:t>Pětina (19</w:t>
      </w:r>
      <w:r w:rsidR="00884A35" w:rsidRPr="001A06D9">
        <w:rPr>
          <w:b/>
          <w:bCs/>
        </w:rPr>
        <w:t xml:space="preserve"> </w:t>
      </w:r>
      <w:r w:rsidRPr="001A06D9">
        <w:rPr>
          <w:b/>
          <w:bCs/>
        </w:rPr>
        <w:t>%)</w:t>
      </w:r>
      <w:r w:rsidRPr="00F57F4F">
        <w:t xml:space="preserve"> evropských společností měla před pandemií </w:t>
      </w:r>
      <w:r w:rsidR="002454C5">
        <w:t>vynikající</w:t>
      </w:r>
      <w:r w:rsidR="002454C5" w:rsidRPr="00F57F4F">
        <w:t xml:space="preserve"> </w:t>
      </w:r>
      <w:r w:rsidRPr="00F57F4F">
        <w:t>finanční výsledky, ale v</w:t>
      </w:r>
      <w:r w:rsidR="00303626">
        <w:t> </w:t>
      </w:r>
      <w:r w:rsidRPr="00F57F4F">
        <w:t>příštích 12 měsících očekává negativní růst výnosů nebo zisku. Zpráva uvádí tyto společnosti jako „padající anděly“.</w:t>
      </w:r>
    </w:p>
    <w:p w14:paraId="787C38EE" w14:textId="6F93395F" w:rsidR="00303626" w:rsidRDefault="00303626" w:rsidP="00512DDE">
      <w:pPr>
        <w:numPr>
          <w:ilvl w:val="0"/>
          <w:numId w:val="29"/>
        </w:numPr>
        <w:spacing w:afterLines="160" w:after="384"/>
        <w:ind w:left="714" w:hanging="357"/>
      </w:pPr>
      <w:r w:rsidRPr="001A06D9">
        <w:rPr>
          <w:b/>
          <w:bCs/>
        </w:rPr>
        <w:t>Třetina (32</w:t>
      </w:r>
      <w:r w:rsidR="00884A35" w:rsidRPr="001A06D9">
        <w:rPr>
          <w:b/>
          <w:bCs/>
        </w:rPr>
        <w:t xml:space="preserve"> </w:t>
      </w:r>
      <w:r w:rsidRPr="001A06D9">
        <w:rPr>
          <w:b/>
          <w:bCs/>
        </w:rPr>
        <w:t>%)</w:t>
      </w:r>
      <w:r w:rsidRPr="00303626">
        <w:t xml:space="preserve"> evropských společností očekává v příštích 12 měsících růst</w:t>
      </w:r>
      <w:r w:rsidR="0082025E">
        <w:t xml:space="preserve"> zisků</w:t>
      </w:r>
      <w:r w:rsidRPr="00303626">
        <w:t>. Zpráva uvádí tyto společnosti jako „vůdce zítřka“.</w:t>
      </w:r>
    </w:p>
    <w:p w14:paraId="116863B6" w14:textId="6D04BDCF" w:rsidR="00F57F4F" w:rsidRDefault="00AF0E0F" w:rsidP="00512DDE">
      <w:pPr>
        <w:spacing w:afterLines="100" w:after="240"/>
      </w:pPr>
      <w:r>
        <w:t>U s</w:t>
      </w:r>
      <w:r w:rsidR="00884A35" w:rsidRPr="00884A35">
        <w:t>polečnost</w:t>
      </w:r>
      <w:r>
        <w:t>í</w:t>
      </w:r>
      <w:r w:rsidR="00884A35" w:rsidRPr="00884A35">
        <w:t xml:space="preserve">, které </w:t>
      </w:r>
      <w:r w:rsidR="00884A35">
        <w:t>jsou napřed v přijetí digitalizace a udržitelnosti</w:t>
      </w:r>
      <w:r w:rsidR="00884A35" w:rsidRPr="00884A35">
        <w:t>, je téměř třikrát větší pravděpodobnost než u jiných společností, že budou mezi „vůdci</w:t>
      </w:r>
      <w:r w:rsidR="00D20514">
        <w:t xml:space="preserve"> zítřka</w:t>
      </w:r>
      <w:r w:rsidR="00884A35" w:rsidRPr="00884A35">
        <w:t xml:space="preserve">“, </w:t>
      </w:r>
      <w:r w:rsidR="00D20514">
        <w:t>takže</w:t>
      </w:r>
      <w:r w:rsidR="00884A35" w:rsidRPr="00884A35">
        <w:t xml:space="preserve"> se z krize rychleji vzpamatují a budou silnější.</w:t>
      </w:r>
    </w:p>
    <w:p w14:paraId="17956699" w14:textId="6BA872B5" w:rsidR="00884A35" w:rsidRDefault="00884A35" w:rsidP="00512DDE">
      <w:pPr>
        <w:spacing w:afterLines="100" w:after="240"/>
      </w:pPr>
      <w:r w:rsidRPr="00884A35">
        <w:t xml:space="preserve">„Digitální transformace definovala obchodní prostředí </w:t>
      </w:r>
      <w:r w:rsidR="004E0437">
        <w:t>po</w:t>
      </w:r>
      <w:r w:rsidRPr="00884A35">
        <w:t xml:space="preserve"> roce 2010 a zvítězily </w:t>
      </w:r>
      <w:r>
        <w:t xml:space="preserve">ty </w:t>
      </w:r>
      <w:r w:rsidRPr="00884A35">
        <w:t xml:space="preserve">společnosti, které </w:t>
      </w:r>
      <w:r w:rsidR="0082025E">
        <w:t>byly</w:t>
      </w:r>
      <w:r>
        <w:t xml:space="preserve"> schopné provést transformaci ve velkém rozsahu a rychle</w:t>
      </w:r>
      <w:r w:rsidRPr="00884A35">
        <w:t xml:space="preserve">,“ řekl </w:t>
      </w:r>
      <w:r w:rsidR="00501F80" w:rsidRPr="00884A35">
        <w:t>Jean-Marc Ollagnier, generální ředitel společnosti Accenture v Evropě</w:t>
      </w:r>
      <w:r w:rsidRPr="00884A35">
        <w:t xml:space="preserve">. </w:t>
      </w:r>
      <w:r>
        <w:t>„</w:t>
      </w:r>
      <w:r w:rsidR="00B636AA">
        <w:t>Nyní v</w:t>
      </w:r>
      <w:r w:rsidRPr="00884A35">
        <w:t xml:space="preserve">stupujeme do desetiletí, </w:t>
      </w:r>
      <w:r>
        <w:t>v němž propuká</w:t>
      </w:r>
      <w:r w:rsidRPr="00884A35">
        <w:t xml:space="preserve"> nov</w:t>
      </w:r>
      <w:r>
        <w:t>á</w:t>
      </w:r>
      <w:r w:rsidRPr="00884A35">
        <w:t xml:space="preserve"> vln</w:t>
      </w:r>
      <w:r>
        <w:t>a</w:t>
      </w:r>
      <w:r w:rsidRPr="00884A35">
        <w:t xml:space="preserve"> obchodních změn definovan</w:t>
      </w:r>
      <w:r>
        <w:t>á</w:t>
      </w:r>
      <w:r w:rsidRPr="00884A35">
        <w:t xml:space="preserve"> přechodem </w:t>
      </w:r>
      <w:r>
        <w:t xml:space="preserve">k </w:t>
      </w:r>
      <w:r w:rsidRPr="00884A35">
        <w:t xml:space="preserve">udržitelnosti. To, jak evropské společnosti zvládnou tuto </w:t>
      </w:r>
      <w:r w:rsidR="00E7183F">
        <w:rPr>
          <w:color w:val="252525"/>
          <w:shd w:val="clear" w:color="auto" w:fill="FFFFFF"/>
        </w:rPr>
        <w:t>‚</w:t>
      </w:r>
      <w:r w:rsidRPr="00884A35">
        <w:t>dvojitou transformaci</w:t>
      </w:r>
      <w:r w:rsidR="00E7183F">
        <w:rPr>
          <w:color w:val="252525"/>
          <w:shd w:val="clear" w:color="auto" w:fill="FFFFFF"/>
        </w:rPr>
        <w:t>‘</w:t>
      </w:r>
      <w:r w:rsidR="00BC64A1">
        <w:rPr>
          <w:color w:val="252525"/>
          <w:shd w:val="clear" w:color="auto" w:fill="FFFFFF"/>
        </w:rPr>
        <w:t>,</w:t>
      </w:r>
      <w:r w:rsidRPr="00884A35">
        <w:t xml:space="preserve"> určí, jak rychle se z krize vzpamatují a jak</w:t>
      </w:r>
      <w:r>
        <w:t>é</w:t>
      </w:r>
      <w:r w:rsidRPr="00884A35">
        <w:t xml:space="preserve"> budou mít postavení v</w:t>
      </w:r>
      <w:r w:rsidR="00BE3A27">
        <w:t> </w:t>
      </w:r>
      <w:r w:rsidRPr="00884A35">
        <w:t>postpandemickém světě.“</w:t>
      </w:r>
    </w:p>
    <w:p w14:paraId="12655FAB" w14:textId="5CFEB9DA" w:rsidR="00884A35" w:rsidRPr="001A06D9" w:rsidRDefault="00884A35" w:rsidP="00512DDE">
      <w:pPr>
        <w:spacing w:afterLines="100" w:after="240"/>
        <w:rPr>
          <w:b/>
          <w:bCs/>
        </w:rPr>
      </w:pPr>
      <w:r w:rsidRPr="00884A35">
        <w:t>Podle průzkumu téměř polovina (45</w:t>
      </w:r>
      <w:r>
        <w:t xml:space="preserve"> </w:t>
      </w:r>
      <w:r w:rsidRPr="00884A35">
        <w:t xml:space="preserve">%) evropských podniků upřednostňuje investice jak do digitální transformace, tak do udržitelnosti. Konkrétně </w:t>
      </w:r>
      <w:r w:rsidRPr="001A06D9">
        <w:rPr>
          <w:b/>
          <w:bCs/>
        </w:rPr>
        <w:t xml:space="preserve">40 % evropských respondentů plánuje velké investice do umělé inteligence, 37 % do cloudu a 31 % přehodnocuje své investiční strategie tak, aby byly více </w:t>
      </w:r>
      <w:r w:rsidR="00160C38" w:rsidRPr="001A06D9">
        <w:rPr>
          <w:b/>
          <w:bCs/>
        </w:rPr>
        <w:t>zaměřené</w:t>
      </w:r>
      <w:r w:rsidRPr="001A06D9">
        <w:rPr>
          <w:b/>
          <w:bCs/>
        </w:rPr>
        <w:t xml:space="preserve"> na udržitelné obchodní modely.</w:t>
      </w:r>
    </w:p>
    <w:p w14:paraId="332CCB45" w14:textId="77777777" w:rsidR="00512DDE" w:rsidRDefault="00512DDE" w:rsidP="00E7183F">
      <w:pPr>
        <w:pStyle w:val="Bezmezer"/>
        <w:spacing w:after="192"/>
      </w:pPr>
    </w:p>
    <w:p w14:paraId="6E05774C" w14:textId="77777777" w:rsidR="00E7183F" w:rsidRDefault="00E7183F">
      <w:pPr>
        <w:spacing w:afterLines="0" w:after="0" w:line="240" w:lineRule="auto"/>
        <w:jc w:val="left"/>
        <w:rPr>
          <w:b/>
          <w:bCs/>
        </w:rPr>
      </w:pPr>
      <w:r>
        <w:rPr>
          <w:b/>
          <w:bCs/>
        </w:rPr>
        <w:br w:type="page"/>
      </w:r>
    </w:p>
    <w:p w14:paraId="13953E5A" w14:textId="78716A68" w:rsidR="00580DDA" w:rsidRPr="00512DDE" w:rsidRDefault="00160C38" w:rsidP="00512DDE">
      <w:pPr>
        <w:spacing w:afterLines="100" w:after="240"/>
        <w:rPr>
          <w:b/>
          <w:bCs/>
        </w:rPr>
      </w:pPr>
      <w:r w:rsidRPr="00512DDE">
        <w:rPr>
          <w:b/>
          <w:bCs/>
        </w:rPr>
        <w:lastRenderedPageBreak/>
        <w:t xml:space="preserve">Evropské společnosti si nejsou </w:t>
      </w:r>
      <w:r w:rsidR="00BE3A27" w:rsidRPr="00512DDE">
        <w:rPr>
          <w:b/>
          <w:bCs/>
        </w:rPr>
        <w:t>jisty růstovými cíli</w:t>
      </w:r>
      <w:r w:rsidR="00BE3A27">
        <w:rPr>
          <w:b/>
          <w:bCs/>
        </w:rPr>
        <w:t xml:space="preserve"> </w:t>
      </w:r>
      <w:r w:rsidRPr="00512DDE">
        <w:rPr>
          <w:b/>
          <w:bCs/>
        </w:rPr>
        <w:t>pro rok 2021</w:t>
      </w:r>
    </w:p>
    <w:p w14:paraId="6D882ED4" w14:textId="62BE9E36" w:rsidR="00160C38" w:rsidRDefault="00160C38" w:rsidP="00512DDE">
      <w:pPr>
        <w:spacing w:afterLines="100" w:after="240"/>
      </w:pPr>
      <w:r w:rsidRPr="00160C38">
        <w:t>Zpráva konstatuje, že méně než polovina (45</w:t>
      </w:r>
      <w:r>
        <w:t xml:space="preserve"> </w:t>
      </w:r>
      <w:r w:rsidRPr="00160C38">
        <w:t xml:space="preserve">%) evropských podniků </w:t>
      </w:r>
      <w:r>
        <w:t xml:space="preserve">letos </w:t>
      </w:r>
      <w:r w:rsidRPr="00160C38">
        <w:t xml:space="preserve">očekává dosažení cílů růstu. </w:t>
      </w:r>
      <w:r>
        <w:t>K nejoptimističtějším patří</w:t>
      </w:r>
      <w:r w:rsidRPr="00160C38">
        <w:t xml:space="preserve"> ve Velké Británii, Francii a Německu</w:t>
      </w:r>
      <w:r>
        <w:t>, kde</w:t>
      </w:r>
      <w:r w:rsidRPr="00160C38">
        <w:t xml:space="preserve"> </w:t>
      </w:r>
      <w:r>
        <w:t xml:space="preserve">očekává dosažení svých cílů pro rok 2021 </w:t>
      </w:r>
      <w:r w:rsidRPr="00160C38">
        <w:t>59</w:t>
      </w:r>
      <w:r>
        <w:t xml:space="preserve"> </w:t>
      </w:r>
      <w:r w:rsidRPr="00160C38">
        <w:t>%, 52</w:t>
      </w:r>
      <w:r>
        <w:t xml:space="preserve"> </w:t>
      </w:r>
      <w:r w:rsidRPr="00160C38">
        <w:t>% a 51</w:t>
      </w:r>
      <w:r>
        <w:t xml:space="preserve"> </w:t>
      </w:r>
      <w:r w:rsidRPr="00160C38">
        <w:t xml:space="preserve">% respondentů. </w:t>
      </w:r>
      <w:r>
        <w:t xml:space="preserve">Pesimističtí jsou naopak </w:t>
      </w:r>
      <w:r w:rsidRPr="00160C38">
        <w:t xml:space="preserve">v Itálii a </w:t>
      </w:r>
      <w:r>
        <w:t xml:space="preserve">ve </w:t>
      </w:r>
      <w:r w:rsidRPr="00160C38">
        <w:t>Španělsku</w:t>
      </w:r>
      <w:r>
        <w:t xml:space="preserve">, kde splnění růstových cílů očekává  pouze </w:t>
      </w:r>
      <w:r w:rsidRPr="00160C38">
        <w:t>34</w:t>
      </w:r>
      <w:r>
        <w:t xml:space="preserve"> </w:t>
      </w:r>
      <w:r w:rsidRPr="00160C38">
        <w:t>%, respektive 31</w:t>
      </w:r>
      <w:r>
        <w:t xml:space="preserve"> </w:t>
      </w:r>
      <w:r w:rsidRPr="00160C38">
        <w:t>%</w:t>
      </w:r>
      <w:r>
        <w:t xml:space="preserve"> společností</w:t>
      </w:r>
      <w:r w:rsidRPr="00160C38">
        <w:t>.</w:t>
      </w:r>
    </w:p>
    <w:p w14:paraId="1F47A7C7" w14:textId="4EE716B9" w:rsidR="00160C38" w:rsidRDefault="00160C38" w:rsidP="00512DDE">
      <w:pPr>
        <w:spacing w:afterLines="100" w:after="240"/>
      </w:pPr>
      <w:r>
        <w:t>„I</w:t>
      </w:r>
      <w:r w:rsidRPr="00160C38">
        <w:t xml:space="preserve"> společnosti, které </w:t>
      </w:r>
      <w:r>
        <w:t xml:space="preserve">uznávají, že urychlení </w:t>
      </w:r>
      <w:r w:rsidR="00F26C6B">
        <w:t>digitalizace a přechod k udržitelnosti jsou velkou příležitostí</w:t>
      </w:r>
      <w:r w:rsidRPr="00160C38">
        <w:t xml:space="preserve">, čelí v různých fázích této transformace překážkám," uvedl </w:t>
      </w:r>
      <w:r w:rsidR="00501F80" w:rsidRPr="00884A35">
        <w:t>Jean-Marc Ollagnier</w:t>
      </w:r>
      <w:r w:rsidRPr="00160C38">
        <w:t>. „Mezi tyto výzvy patří defin</w:t>
      </w:r>
      <w:r w:rsidR="00F26C6B">
        <w:t>ice</w:t>
      </w:r>
      <w:r w:rsidRPr="00160C38">
        <w:t xml:space="preserve"> životaschopného obchodního modelu kolem udržitelných postupů a produktů, uvolnění zdrojů pro lepší mobilizaci organizace a rychlý přechod od pilotních a </w:t>
      </w:r>
      <w:r w:rsidR="00F26C6B">
        <w:t>izolovaných</w:t>
      </w:r>
      <w:r w:rsidRPr="00160C38">
        <w:t xml:space="preserve"> projektů k rozsáhlým a</w:t>
      </w:r>
      <w:r w:rsidR="00F26C6B">
        <w:t> </w:t>
      </w:r>
      <w:r w:rsidRPr="00160C38">
        <w:t>celopodnikovým iniciativám.“</w:t>
      </w:r>
    </w:p>
    <w:p w14:paraId="63894B86" w14:textId="40537742" w:rsidR="00F26C6B" w:rsidRDefault="00F26C6B" w:rsidP="00512DDE">
      <w:pPr>
        <w:spacing w:afterLines="0" w:after="0"/>
        <w:contextualSpacing/>
      </w:pPr>
      <w:r w:rsidRPr="00F26C6B">
        <w:t>Zpráva</w:t>
      </w:r>
      <w:r>
        <w:t xml:space="preserve"> </w:t>
      </w:r>
      <w:r w:rsidRPr="00F26C6B">
        <w:t>navrhuje několik strategických kroků, které musí společnost podniknout, aby překonala tyto překážky a úspěšně provedla dvojitou transformaci</w:t>
      </w:r>
      <w:r w:rsidR="00300510">
        <w:t xml:space="preserve"> (Twin Transformation)</w:t>
      </w:r>
      <w:r w:rsidRPr="00F26C6B">
        <w:t>:</w:t>
      </w:r>
    </w:p>
    <w:p w14:paraId="1D06FE3E" w14:textId="320C088D" w:rsidR="00F26C6B" w:rsidRDefault="00F26C6B" w:rsidP="00F26C6B">
      <w:pPr>
        <w:pStyle w:val="Odstavecseseznamem"/>
        <w:numPr>
          <w:ilvl w:val="0"/>
          <w:numId w:val="30"/>
        </w:numPr>
        <w:spacing w:afterLines="160" w:after="384"/>
      </w:pPr>
      <w:r w:rsidRPr="00F26C6B">
        <w:t>Podpor</w:t>
      </w:r>
      <w:r w:rsidR="00300510">
        <w:t>a</w:t>
      </w:r>
      <w:r w:rsidRPr="00F26C6B">
        <w:t xml:space="preserve"> obchodních modelů</w:t>
      </w:r>
      <w:r w:rsidR="00300510">
        <w:t xml:space="preserve">, </w:t>
      </w:r>
      <w:r>
        <w:t>založených na</w:t>
      </w:r>
      <w:r w:rsidRPr="00F26C6B">
        <w:t xml:space="preserve"> udržitelnost</w:t>
      </w:r>
      <w:r w:rsidR="009D36B9">
        <w:t>i</w:t>
      </w:r>
      <w:r w:rsidRPr="00F26C6B">
        <w:t xml:space="preserve"> a </w:t>
      </w:r>
      <w:r>
        <w:t>technologiích</w:t>
      </w:r>
      <w:r w:rsidR="00300510">
        <w:t>, relevantních v daném ekosystému</w:t>
      </w:r>
      <w:r w:rsidR="0082025E">
        <w:t>.</w:t>
      </w:r>
      <w:r w:rsidRPr="00F26C6B">
        <w:t xml:space="preserve"> </w:t>
      </w:r>
      <w:r>
        <w:t>Lídři v</w:t>
      </w:r>
      <w:r w:rsidR="00300510">
        <w:t> dvojité transformaci</w:t>
      </w:r>
      <w:r w:rsidRPr="00F26C6B">
        <w:t xml:space="preserve"> již tímto způsobem generují více než 10</w:t>
      </w:r>
      <w:r>
        <w:t xml:space="preserve"> </w:t>
      </w:r>
      <w:r w:rsidRPr="00F26C6B">
        <w:t>% svých výnosů.</w:t>
      </w:r>
    </w:p>
    <w:p w14:paraId="4A44C942" w14:textId="3C89D3F8" w:rsidR="00F26C6B" w:rsidRDefault="00F26C6B" w:rsidP="00F26C6B">
      <w:pPr>
        <w:pStyle w:val="Odstavecseseznamem"/>
        <w:numPr>
          <w:ilvl w:val="0"/>
          <w:numId w:val="30"/>
        </w:numPr>
        <w:spacing w:afterLines="160" w:after="384"/>
      </w:pPr>
      <w:r w:rsidRPr="00F26C6B">
        <w:t>Kombinac</w:t>
      </w:r>
      <w:r w:rsidR="00300510">
        <w:t>e</w:t>
      </w:r>
      <w:r w:rsidRPr="00F26C6B">
        <w:t xml:space="preserve"> zdrojů pro rozšiřování technologických aplikací na udržitelné postupy</w:t>
      </w:r>
      <w:r w:rsidR="0082025E">
        <w:t>.</w:t>
      </w:r>
      <w:r w:rsidRPr="00F26C6B">
        <w:t xml:space="preserve"> </w:t>
      </w:r>
      <w:r>
        <w:t>Lídři</w:t>
      </w:r>
      <w:r w:rsidRPr="00F26C6B">
        <w:t xml:space="preserve"> investují do inovací plošně a přidělují více než 10</w:t>
      </w:r>
      <w:r>
        <w:t xml:space="preserve"> </w:t>
      </w:r>
      <w:r w:rsidRPr="00F26C6B">
        <w:t xml:space="preserve">% svých ročních příjmů na výzkum a vývoj. Uznávají také, že udržitelnost a technologie nejsou </w:t>
      </w:r>
      <w:r>
        <w:t>rozdílné</w:t>
      </w:r>
      <w:r w:rsidRPr="00F26C6B">
        <w:t xml:space="preserve"> priorit</w:t>
      </w:r>
      <w:r>
        <w:t>y</w:t>
      </w:r>
      <w:r w:rsidRPr="00F26C6B">
        <w:t>.</w:t>
      </w:r>
    </w:p>
    <w:p w14:paraId="25DD4BE9" w14:textId="67735B72" w:rsidR="00F26C6B" w:rsidRDefault="00F26C6B" w:rsidP="00512DDE">
      <w:pPr>
        <w:pStyle w:val="Odstavecseseznamem"/>
        <w:numPr>
          <w:ilvl w:val="0"/>
          <w:numId w:val="30"/>
        </w:numPr>
        <w:spacing w:afterLines="100" w:after="240"/>
      </w:pPr>
      <w:r w:rsidRPr="00F26C6B">
        <w:t>Vedení, posílení a podpor</w:t>
      </w:r>
      <w:r w:rsidR="00300510">
        <w:t>a</w:t>
      </w:r>
      <w:r w:rsidRPr="00F26C6B">
        <w:t xml:space="preserve"> talentů</w:t>
      </w:r>
      <w:r w:rsidR="0082025E">
        <w:t>.</w:t>
      </w:r>
      <w:r w:rsidRPr="00F26C6B">
        <w:t xml:space="preserve"> </w:t>
      </w:r>
      <w:r w:rsidR="0082025E">
        <w:t>Lídři</w:t>
      </w:r>
      <w:r w:rsidRPr="00F26C6B">
        <w:t xml:space="preserve"> přebírají odpovědnost za trvalou zaměstnatelnost svých lidí. </w:t>
      </w:r>
      <w:r w:rsidR="0082025E">
        <w:t xml:space="preserve">Vynakládají velké úsilí na </w:t>
      </w:r>
      <w:r w:rsidRPr="00F26C6B">
        <w:t xml:space="preserve">rekvalifikaci </w:t>
      </w:r>
      <w:r w:rsidR="0082025E">
        <w:t>či</w:t>
      </w:r>
      <w:r w:rsidRPr="00F26C6B">
        <w:t xml:space="preserve"> zvyšování kvalifikace sv</w:t>
      </w:r>
      <w:r w:rsidR="0082025E">
        <w:t>ých zaměstnanců a</w:t>
      </w:r>
      <w:r w:rsidR="004D4847">
        <w:t> </w:t>
      </w:r>
      <w:r w:rsidR="0082025E">
        <w:t>chápou</w:t>
      </w:r>
      <w:r w:rsidRPr="00F26C6B">
        <w:t>, že podpora talentu je zásadní pro přeměnu transformace na hmatatelnou obchodní hodnotu.</w:t>
      </w:r>
    </w:p>
    <w:p w14:paraId="7230B0E5" w14:textId="13BDD421" w:rsidR="00160C38" w:rsidRDefault="0082025E" w:rsidP="00512DDE">
      <w:pPr>
        <w:spacing w:afterLines="100" w:after="240"/>
      </w:pPr>
      <w:r>
        <w:t>„</w:t>
      </w:r>
      <w:r w:rsidRPr="0082025E">
        <w:t>Existuje důvod, proč je DNA dvojitá spirála," řekl</w:t>
      </w:r>
      <w:r w:rsidR="00501F80">
        <w:t xml:space="preserve"> </w:t>
      </w:r>
      <w:r w:rsidR="00501F80" w:rsidRPr="00884A35">
        <w:t>Ollagnier</w:t>
      </w:r>
      <w:r w:rsidRPr="0082025E">
        <w:t xml:space="preserve">. </w:t>
      </w:r>
      <w:r>
        <w:t>„</w:t>
      </w:r>
      <w:r w:rsidRPr="0082025E">
        <w:t xml:space="preserve">Spirálovitá struktura molekuly, která je základem života, je zásadní pro replikaci, adaptaci </w:t>
      </w:r>
      <w:r w:rsidR="00300510">
        <w:t>–</w:t>
      </w:r>
      <w:r w:rsidRPr="0082025E">
        <w:t xml:space="preserve"> a</w:t>
      </w:r>
      <w:r w:rsidR="00300510">
        <w:t xml:space="preserve"> </w:t>
      </w:r>
      <w:r w:rsidRPr="0082025E">
        <w:t>rozkvět. Je to silná metafora pro podnikání uprostřed dvou paralelních přechodů, které překrucují zákonitosti evoluce dynamickými, ale nezastavitelnými způsoby: digitální transformací a udržitelností. Evropské podniky, které pokračují ve vyšlapané cestě, budou sledovat, jak ostatní získají konkurenční výhodu</w:t>
      </w:r>
      <w:r w:rsidR="004D4847">
        <w:t>.</w:t>
      </w:r>
      <w:r w:rsidRPr="0082025E">
        <w:t xml:space="preserve"> Nebo se k nim mohou přidat uvolněním hodnoty, která spočívá v</w:t>
      </w:r>
      <w:r w:rsidR="004D4847">
        <w:t xml:space="preserve"> kombinaci</w:t>
      </w:r>
      <w:r w:rsidRPr="0082025E">
        <w:t xml:space="preserve"> inovativních technologií s tradičními silnými stránkami evropské udržitelnosti, solidarity a účel</w:t>
      </w:r>
      <w:r w:rsidR="004D4847">
        <w:t>nosti</w:t>
      </w:r>
      <w:r w:rsidRPr="0082025E">
        <w:t>.“</w:t>
      </w:r>
    </w:p>
    <w:p w14:paraId="2CBC3F42" w14:textId="77777777" w:rsidR="0082025E" w:rsidRPr="0082025E" w:rsidRDefault="0082025E" w:rsidP="004D4847">
      <w:pPr>
        <w:pStyle w:val="Bezmezer"/>
        <w:spacing w:after="192"/>
      </w:pPr>
    </w:p>
    <w:p w14:paraId="3ECEA8F9" w14:textId="77777777" w:rsidR="004D4847" w:rsidRDefault="004D4847">
      <w:pPr>
        <w:spacing w:afterLines="0" w:after="0" w:line="240" w:lineRule="auto"/>
        <w:jc w:val="left"/>
        <w:rPr>
          <w:b/>
          <w:bCs/>
        </w:rPr>
      </w:pPr>
      <w:r>
        <w:rPr>
          <w:b/>
          <w:bCs/>
        </w:rPr>
        <w:br w:type="page"/>
      </w:r>
    </w:p>
    <w:p w14:paraId="5F85C1A2" w14:textId="56636962" w:rsidR="00580DDA" w:rsidRPr="00512DDE" w:rsidRDefault="00580DDA" w:rsidP="00512DDE">
      <w:pPr>
        <w:spacing w:afterLines="100" w:after="240"/>
        <w:rPr>
          <w:b/>
          <w:bCs/>
        </w:rPr>
      </w:pPr>
      <w:r w:rsidRPr="00512DDE">
        <w:rPr>
          <w:b/>
          <w:bCs/>
        </w:rPr>
        <w:t>O společnosti Accenture</w:t>
      </w:r>
    </w:p>
    <w:p w14:paraId="296253DF" w14:textId="261FBE94" w:rsidR="00580DDA" w:rsidRDefault="00580DDA" w:rsidP="00512DDE">
      <w:pPr>
        <w:spacing w:afterLines="100" w:after="240"/>
      </w:pPr>
      <w:r w:rsidRPr="00580DDA">
        <w:t>Accenture je globální společnost poskytující profesionální služby v</w:t>
      </w:r>
      <w:r>
        <w:t xml:space="preserve"> oblasti digitalizace, cloudu a </w:t>
      </w:r>
      <w:r w:rsidRPr="00580DDA">
        <w:t>kybernetické bezpečnosti. Díky propojení zkušeností a specializovaných dovedností ve více než 40 průmyslových odvětvích nabízíme služby v oblastech poradenství &amp; strateg</w:t>
      </w:r>
      <w:r>
        <w:t xml:space="preserve">ie, Interactive, Technology a </w:t>
      </w:r>
      <w:r w:rsidRPr="00580DDA">
        <w:t>Operations – a to díky podp</w:t>
      </w:r>
      <w:r>
        <w:t>oř</w:t>
      </w:r>
      <w:r w:rsidRPr="00580DDA">
        <w:t>e největší celosvětové sítě Advanced Technology a Intelligent Operations center. Našich 506 000 zaměstnanců využívá možnosti nejnovějších technologií i lidské vynalézavosti v práci pro klienty ve více než 120 zemích. D</w:t>
      </w:r>
      <w:r>
        <w:t>íky síle změn vytváříme hodnoty a zv</w:t>
      </w:r>
      <w:r w:rsidRPr="00580DDA">
        <w:t>yšujeme úspěšnost našich klientů, lidí, akcionářů, partnerů i celé společnosti. Navštivte nás na </w:t>
      </w:r>
      <w:hyperlink r:id="rId9" w:tgtFrame="_blank" w:history="1">
        <w:r w:rsidRPr="00512DDE">
          <w:t>www.accenture.com</w:t>
        </w:r>
      </w:hyperlink>
      <w:r w:rsidR="004D4847">
        <w:t>.</w:t>
      </w:r>
    </w:p>
    <w:p w14:paraId="2ADF0D02" w14:textId="77777777" w:rsidR="004D4847" w:rsidRPr="00580DDA" w:rsidRDefault="004D4847" w:rsidP="00512DDE">
      <w:pPr>
        <w:spacing w:afterLines="100" w:after="240"/>
      </w:pPr>
    </w:p>
    <w:p w14:paraId="58FC197B" w14:textId="77777777" w:rsidR="00D66599" w:rsidRPr="00A86815" w:rsidRDefault="00D66599" w:rsidP="00512DDE">
      <w:pPr>
        <w:spacing w:afterLines="100" w:after="240"/>
        <w:sectPr w:rsidR="00D66599" w:rsidRPr="00A86815" w:rsidSect="00616E3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7" w:h="16840"/>
          <w:pgMar w:top="1701" w:right="1418" w:bottom="1418" w:left="1418" w:header="709" w:footer="709" w:gutter="0"/>
          <w:cols w:space="708"/>
        </w:sectPr>
      </w:pPr>
      <w:r w:rsidRPr="00512DDE">
        <w:t>Kontakt pro média:</w:t>
      </w:r>
      <w:r w:rsidRPr="00BA736B">
        <w:t xml:space="preserve"> </w:t>
      </w:r>
      <w:r>
        <w:tab/>
      </w:r>
      <w:r w:rsidRPr="00BA736B">
        <w:t xml:space="preserve">Petr Jarkovský, </w:t>
      </w:r>
      <w:hyperlink r:id="rId16" w:history="1">
        <w:r w:rsidRPr="00512DDE">
          <w:t>petr.jarkovsky@aspen.pr</w:t>
        </w:r>
      </w:hyperlink>
      <w:r w:rsidRPr="00BA736B">
        <w:t>, 774 225</w:t>
      </w:r>
      <w:r>
        <w:t> </w:t>
      </w:r>
      <w:r w:rsidRPr="00BA736B">
        <w:t>153</w:t>
      </w:r>
    </w:p>
    <w:p w14:paraId="5A6A7413" w14:textId="77777777" w:rsidR="000663DE" w:rsidRPr="00BA736B" w:rsidRDefault="00D66599" w:rsidP="00512DDE">
      <w:pPr>
        <w:spacing w:afterLines="100" w:after="240"/>
      </w:pPr>
      <w:r>
        <w:tab/>
      </w:r>
      <w:r>
        <w:tab/>
      </w:r>
      <w:r>
        <w:tab/>
        <w:t xml:space="preserve">Markéta Ciňková, </w:t>
      </w:r>
      <w:hyperlink r:id="rId17" w:history="1">
        <w:r w:rsidRPr="00512DDE">
          <w:t>marketa.cinkova@aspen.pr</w:t>
        </w:r>
      </w:hyperlink>
      <w:r>
        <w:t>, 724 012 612</w:t>
      </w:r>
    </w:p>
    <w:sectPr w:rsidR="000663DE" w:rsidRPr="00BA736B" w:rsidSect="003006BF">
      <w:headerReference w:type="default" r:id="rId18"/>
      <w:type w:val="continuous"/>
      <w:pgSz w:w="11907" w:h="16840"/>
      <w:pgMar w:top="1701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657BA8" w14:textId="77777777" w:rsidR="00FE1A25" w:rsidRDefault="00FE1A25">
      <w:pPr>
        <w:spacing w:after="192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14:paraId="7E9E0F53" w14:textId="77777777" w:rsidR="00FE1A25" w:rsidRDefault="00FE1A25">
      <w:pPr>
        <w:spacing w:after="192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3D411" w14:textId="77777777" w:rsidR="004C7BDF" w:rsidRDefault="004C7BDF">
    <w:pPr>
      <w:pStyle w:val="Zpat"/>
      <w:spacing w:after="19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2434C" w14:textId="77777777" w:rsidR="004C7BDF" w:rsidRDefault="004C7BDF">
    <w:pPr>
      <w:pStyle w:val="Zpat"/>
      <w:spacing w:after="19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5A63B1" w14:textId="77777777" w:rsidR="004C7BDF" w:rsidRDefault="004C7BDF">
    <w:pPr>
      <w:pStyle w:val="Zpat"/>
      <w:spacing w:after="19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F80AD6" w14:textId="77777777" w:rsidR="00FE1A25" w:rsidRDefault="00FE1A25">
      <w:pPr>
        <w:spacing w:after="192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14:paraId="2A623963" w14:textId="77777777" w:rsidR="00FE1A25" w:rsidRDefault="00FE1A25">
      <w:pPr>
        <w:spacing w:after="192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71136" w14:textId="77777777" w:rsidR="004C7BDF" w:rsidRDefault="004C7BDF">
    <w:pPr>
      <w:pStyle w:val="Zhlav"/>
      <w:spacing w:after="19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98264" w14:textId="7E19AD8D" w:rsidR="00D66599" w:rsidRDefault="00303626">
    <w:pPr>
      <w:pStyle w:val="Zhlav"/>
      <w:spacing w:after="192"/>
      <w:rPr>
        <w:rFonts w:ascii="Times New Roman" w:hAnsi="Times New Roman"/>
      </w:rPr>
    </w:pPr>
    <w:r w:rsidRPr="00125943">
      <w:rPr>
        <w:rFonts w:ascii="Times New Roman" w:hAnsi="Times New Roman"/>
        <w:snapToGrid/>
        <w:lang w:eastAsia="cs-CZ"/>
      </w:rPr>
      <w:drawing>
        <wp:inline distT="0" distB="0" distL="0" distR="0" wp14:anchorId="624A0230" wp14:editId="5D4D6B49">
          <wp:extent cx="1955800" cy="527050"/>
          <wp:effectExtent l="0" t="0" r="0" b="0"/>
          <wp:docPr id="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5800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15969" w14:textId="77777777" w:rsidR="004C7BDF" w:rsidRDefault="004C7BDF">
    <w:pPr>
      <w:pStyle w:val="Zhlav"/>
      <w:spacing w:after="192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843" w:type="dxa"/>
      <w:tblBorders>
        <w:top w:val="dotted" w:sz="4" w:space="0" w:color="FFFFFF"/>
        <w:left w:val="dotted" w:sz="4" w:space="0" w:color="FFFFFF"/>
        <w:bottom w:val="dotted" w:sz="4" w:space="0" w:color="FFFFFF"/>
        <w:right w:val="dotted" w:sz="4" w:space="0" w:color="FFFFFF"/>
        <w:insideV w:val="dotted" w:sz="4" w:space="0" w:color="FFFFFF"/>
      </w:tblBorders>
      <w:tblLayout w:type="fixed"/>
      <w:tblLook w:val="0000" w:firstRow="0" w:lastRow="0" w:firstColumn="0" w:lastColumn="0" w:noHBand="0" w:noVBand="0"/>
    </w:tblPr>
    <w:tblGrid>
      <w:gridCol w:w="5973"/>
      <w:gridCol w:w="4870"/>
    </w:tblGrid>
    <w:tr w:rsidR="002132CC" w14:paraId="2799119A" w14:textId="77777777" w:rsidTr="00DF79C4">
      <w:trPr>
        <w:trHeight w:val="1979"/>
      </w:trPr>
      <w:tc>
        <w:tcPr>
          <w:tcW w:w="5973" w:type="dxa"/>
        </w:tcPr>
        <w:p w14:paraId="11941971" w14:textId="48FC926B" w:rsidR="002132CC" w:rsidRDefault="00303626">
          <w:pPr>
            <w:pStyle w:val="Zhlav"/>
            <w:spacing w:before="60" w:after="192"/>
            <w:rPr>
              <w:rFonts w:ascii="Times New Roman" w:hAnsi="Times New Roman"/>
            </w:rPr>
          </w:pPr>
          <w:r>
            <w:drawing>
              <wp:anchor distT="0" distB="0" distL="114300" distR="114300" simplePos="0" relativeHeight="251657728" behindDoc="1" locked="0" layoutInCell="1" allowOverlap="1" wp14:anchorId="4C42D636" wp14:editId="2FA78741">
                <wp:simplePos x="0" y="0"/>
                <wp:positionH relativeFrom="column">
                  <wp:posOffset>-2463165</wp:posOffset>
                </wp:positionH>
                <wp:positionV relativeFrom="paragraph">
                  <wp:posOffset>635</wp:posOffset>
                </wp:positionV>
                <wp:extent cx="2187575" cy="1038225"/>
                <wp:effectExtent l="0" t="0" r="0" b="0"/>
                <wp:wrapTight wrapText="bothSides">
                  <wp:wrapPolygon edited="0">
                    <wp:start x="0" y="396"/>
                    <wp:lineTo x="0" y="21402"/>
                    <wp:lineTo x="21443" y="21402"/>
                    <wp:lineTo x="21443" y="396"/>
                    <wp:lineTo x="0" y="396"/>
                  </wp:wrapPolygon>
                </wp:wrapTight>
                <wp:docPr id="2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686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757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70" w:type="dxa"/>
        </w:tcPr>
        <w:p w14:paraId="79A0C456" w14:textId="77777777" w:rsidR="002132CC" w:rsidRPr="000663DE" w:rsidRDefault="002132CC" w:rsidP="000663DE">
          <w:pPr>
            <w:spacing w:after="192"/>
          </w:pPr>
        </w:p>
      </w:tc>
    </w:tr>
  </w:tbl>
  <w:p w14:paraId="36450C40" w14:textId="77777777" w:rsidR="002132CC" w:rsidRDefault="002132CC">
    <w:pPr>
      <w:pStyle w:val="Zhlav"/>
      <w:spacing w:after="192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128A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0B5C7C89"/>
    <w:multiLevelType w:val="hybridMultilevel"/>
    <w:tmpl w:val="D6AC09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0C9437FF"/>
    <w:multiLevelType w:val="hybridMultilevel"/>
    <w:tmpl w:val="0DD2990E"/>
    <w:lvl w:ilvl="0" w:tplc="FB7C63C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0D9C5ADB"/>
    <w:multiLevelType w:val="hybridMultilevel"/>
    <w:tmpl w:val="315E28E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165901E4"/>
    <w:multiLevelType w:val="hybridMultilevel"/>
    <w:tmpl w:val="21762D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1C202BBE"/>
    <w:multiLevelType w:val="hybridMultilevel"/>
    <w:tmpl w:val="86143E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EE5719"/>
    <w:multiLevelType w:val="hybridMultilevel"/>
    <w:tmpl w:val="3266E1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2D484F99"/>
    <w:multiLevelType w:val="hybridMultilevel"/>
    <w:tmpl w:val="B0CCFB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C3335C"/>
    <w:multiLevelType w:val="hybridMultilevel"/>
    <w:tmpl w:val="C6482AFA"/>
    <w:lvl w:ilvl="0" w:tplc="B65C9F1E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447F91"/>
    <w:multiLevelType w:val="hybridMultilevel"/>
    <w:tmpl w:val="6E4CC458"/>
    <w:lvl w:ilvl="0" w:tplc="E708D6E4">
      <w:start w:val="1"/>
      <w:numFmt w:val="bullet"/>
      <w:lvlText w:val=""/>
      <w:lvlJc w:val="left"/>
      <w:pPr>
        <w:ind w:left="360" w:hanging="360"/>
      </w:pPr>
      <w:rPr>
        <w:rFonts w:ascii="Symbol" w:hAnsi="Symbol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36715195"/>
    <w:multiLevelType w:val="hybridMultilevel"/>
    <w:tmpl w:val="0E1E11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373235F5"/>
    <w:multiLevelType w:val="hybridMultilevel"/>
    <w:tmpl w:val="7A3E38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426F4EC9"/>
    <w:multiLevelType w:val="hybridMultilevel"/>
    <w:tmpl w:val="A1DAAB3E"/>
    <w:lvl w:ilvl="0" w:tplc="C83ACB88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DF29D8"/>
    <w:multiLevelType w:val="hybridMultilevel"/>
    <w:tmpl w:val="140459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487579BC"/>
    <w:multiLevelType w:val="hybridMultilevel"/>
    <w:tmpl w:val="5B82F634"/>
    <w:lvl w:ilvl="0" w:tplc="E31679F6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87794E"/>
    <w:multiLevelType w:val="hybridMultilevel"/>
    <w:tmpl w:val="CD3C2D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63673F3B"/>
    <w:multiLevelType w:val="hybridMultilevel"/>
    <w:tmpl w:val="0AF6C7FE"/>
    <w:lvl w:ilvl="0" w:tplc="E708D6E4">
      <w:start w:val="1"/>
      <w:numFmt w:val="bullet"/>
      <w:lvlText w:val=""/>
      <w:lvlJc w:val="left"/>
      <w:pPr>
        <w:ind w:left="360" w:hanging="360"/>
      </w:pPr>
      <w:rPr>
        <w:rFonts w:ascii="Symbol" w:hAnsi="Symbol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Times New Roman" w:hint="default"/>
      </w:rPr>
    </w:lvl>
  </w:abstractNum>
  <w:abstractNum w:abstractNumId="17" w15:restartNumberingAfterBreak="0">
    <w:nsid w:val="6439383B"/>
    <w:multiLevelType w:val="hybridMultilevel"/>
    <w:tmpl w:val="CEEE00A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8C52C16"/>
    <w:multiLevelType w:val="hybridMultilevel"/>
    <w:tmpl w:val="A918960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A9F2BC3"/>
    <w:multiLevelType w:val="hybridMultilevel"/>
    <w:tmpl w:val="B0FC2C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DB27CB"/>
    <w:multiLevelType w:val="hybridMultilevel"/>
    <w:tmpl w:val="9D5416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1" w15:restartNumberingAfterBreak="0">
    <w:nsid w:val="6D9F4862"/>
    <w:multiLevelType w:val="hybridMultilevel"/>
    <w:tmpl w:val="21482852"/>
    <w:lvl w:ilvl="0" w:tplc="C83ACB88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BB114E"/>
    <w:multiLevelType w:val="hybridMultilevel"/>
    <w:tmpl w:val="9E9C4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3" w15:restartNumberingAfterBreak="0">
    <w:nsid w:val="72A14917"/>
    <w:multiLevelType w:val="hybridMultilevel"/>
    <w:tmpl w:val="8E70FAB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69C1B8C"/>
    <w:multiLevelType w:val="hybridMultilevel"/>
    <w:tmpl w:val="7FEE45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734846"/>
    <w:multiLevelType w:val="hybridMultilevel"/>
    <w:tmpl w:val="BEF07810"/>
    <w:lvl w:ilvl="0" w:tplc="DFB60D2C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6" w15:restartNumberingAfterBreak="0">
    <w:nsid w:val="7A2541D3"/>
    <w:multiLevelType w:val="multilevel"/>
    <w:tmpl w:val="DC46F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  <w:sz w:val="20"/>
        <w:szCs w:val="20"/>
      </w:rPr>
    </w:lvl>
  </w:abstractNum>
  <w:abstractNum w:abstractNumId="27" w15:restartNumberingAfterBreak="0">
    <w:nsid w:val="7BC51731"/>
    <w:multiLevelType w:val="hybridMultilevel"/>
    <w:tmpl w:val="D1EAA5C0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 w15:restartNumberingAfterBreak="0">
    <w:nsid w:val="7E792F41"/>
    <w:multiLevelType w:val="hybridMultilevel"/>
    <w:tmpl w:val="EC506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9" w15:restartNumberingAfterBreak="0">
    <w:nsid w:val="7EAB47C8"/>
    <w:multiLevelType w:val="hybridMultilevel"/>
    <w:tmpl w:val="F238E12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26"/>
  </w:num>
  <w:num w:numId="5">
    <w:abstractNumId w:val="28"/>
  </w:num>
  <w:num w:numId="6">
    <w:abstractNumId w:val="15"/>
  </w:num>
  <w:num w:numId="7">
    <w:abstractNumId w:val="22"/>
  </w:num>
  <w:num w:numId="8">
    <w:abstractNumId w:val="2"/>
  </w:num>
  <w:num w:numId="9">
    <w:abstractNumId w:val="6"/>
  </w:num>
  <w:num w:numId="10">
    <w:abstractNumId w:val="9"/>
  </w:num>
  <w:num w:numId="11">
    <w:abstractNumId w:val="16"/>
  </w:num>
  <w:num w:numId="12">
    <w:abstractNumId w:val="3"/>
  </w:num>
  <w:num w:numId="13">
    <w:abstractNumId w:val="13"/>
  </w:num>
  <w:num w:numId="14">
    <w:abstractNumId w:val="20"/>
  </w:num>
  <w:num w:numId="15">
    <w:abstractNumId w:val="12"/>
  </w:num>
  <w:num w:numId="16">
    <w:abstractNumId w:val="21"/>
  </w:num>
  <w:num w:numId="17">
    <w:abstractNumId w:val="29"/>
  </w:num>
  <w:num w:numId="18">
    <w:abstractNumId w:val="23"/>
  </w:num>
  <w:num w:numId="19">
    <w:abstractNumId w:val="10"/>
  </w:num>
  <w:num w:numId="20">
    <w:abstractNumId w:val="4"/>
  </w:num>
  <w:num w:numId="21">
    <w:abstractNumId w:val="25"/>
  </w:num>
  <w:num w:numId="2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24"/>
  </w:num>
  <w:num w:numId="27">
    <w:abstractNumId w:val="14"/>
  </w:num>
  <w:num w:numId="28">
    <w:abstractNumId w:val="8"/>
  </w:num>
  <w:num w:numId="29">
    <w:abstractNumId w:val="19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DDA"/>
    <w:rsid w:val="00005A52"/>
    <w:rsid w:val="0001016D"/>
    <w:rsid w:val="000119F8"/>
    <w:rsid w:val="000122DE"/>
    <w:rsid w:val="00026482"/>
    <w:rsid w:val="00034A97"/>
    <w:rsid w:val="00034DB3"/>
    <w:rsid w:val="000375AA"/>
    <w:rsid w:val="0004309F"/>
    <w:rsid w:val="0005224D"/>
    <w:rsid w:val="000527AC"/>
    <w:rsid w:val="00061C08"/>
    <w:rsid w:val="000663DE"/>
    <w:rsid w:val="00066556"/>
    <w:rsid w:val="0006690C"/>
    <w:rsid w:val="000708F2"/>
    <w:rsid w:val="00070907"/>
    <w:rsid w:val="00073E74"/>
    <w:rsid w:val="0007787D"/>
    <w:rsid w:val="000821E4"/>
    <w:rsid w:val="000846E5"/>
    <w:rsid w:val="00092DFC"/>
    <w:rsid w:val="00092F45"/>
    <w:rsid w:val="000A05A5"/>
    <w:rsid w:val="000B475C"/>
    <w:rsid w:val="000C2D6A"/>
    <w:rsid w:val="000C501B"/>
    <w:rsid w:val="000D1D63"/>
    <w:rsid w:val="000D3AC2"/>
    <w:rsid w:val="000E3AD3"/>
    <w:rsid w:val="000E3F65"/>
    <w:rsid w:val="000F3931"/>
    <w:rsid w:val="000F7D6A"/>
    <w:rsid w:val="00100DCD"/>
    <w:rsid w:val="00107B0D"/>
    <w:rsid w:val="00125401"/>
    <w:rsid w:val="00125943"/>
    <w:rsid w:val="00125AEE"/>
    <w:rsid w:val="001463BF"/>
    <w:rsid w:val="0014684C"/>
    <w:rsid w:val="001549CA"/>
    <w:rsid w:val="00160C38"/>
    <w:rsid w:val="00174639"/>
    <w:rsid w:val="001803EE"/>
    <w:rsid w:val="00185E7C"/>
    <w:rsid w:val="001868DD"/>
    <w:rsid w:val="00186DB7"/>
    <w:rsid w:val="001915BE"/>
    <w:rsid w:val="001A061E"/>
    <w:rsid w:val="001A06D9"/>
    <w:rsid w:val="001B7A37"/>
    <w:rsid w:val="001C1C98"/>
    <w:rsid w:val="001C2741"/>
    <w:rsid w:val="001C41BE"/>
    <w:rsid w:val="001D7D32"/>
    <w:rsid w:val="001E0846"/>
    <w:rsid w:val="001E1A53"/>
    <w:rsid w:val="001E4305"/>
    <w:rsid w:val="001F0038"/>
    <w:rsid w:val="001F30F1"/>
    <w:rsid w:val="001F5441"/>
    <w:rsid w:val="00210AFE"/>
    <w:rsid w:val="00210B93"/>
    <w:rsid w:val="00212994"/>
    <w:rsid w:val="002132CC"/>
    <w:rsid w:val="00223E1A"/>
    <w:rsid w:val="00224586"/>
    <w:rsid w:val="00231C89"/>
    <w:rsid w:val="00234D4D"/>
    <w:rsid w:val="0024187D"/>
    <w:rsid w:val="002454C5"/>
    <w:rsid w:val="0024567C"/>
    <w:rsid w:val="00265379"/>
    <w:rsid w:val="002759A0"/>
    <w:rsid w:val="002875E9"/>
    <w:rsid w:val="002A2892"/>
    <w:rsid w:val="002A2F3E"/>
    <w:rsid w:val="002B05E0"/>
    <w:rsid w:val="002B562E"/>
    <w:rsid w:val="002C0038"/>
    <w:rsid w:val="002C67CC"/>
    <w:rsid w:val="002D122C"/>
    <w:rsid w:val="002E3B38"/>
    <w:rsid w:val="002F3064"/>
    <w:rsid w:val="002F468B"/>
    <w:rsid w:val="002F72C2"/>
    <w:rsid w:val="00300510"/>
    <w:rsid w:val="003006BF"/>
    <w:rsid w:val="003029A1"/>
    <w:rsid w:val="00303626"/>
    <w:rsid w:val="00310085"/>
    <w:rsid w:val="003108FE"/>
    <w:rsid w:val="00313724"/>
    <w:rsid w:val="00314ECB"/>
    <w:rsid w:val="0031614D"/>
    <w:rsid w:val="00316355"/>
    <w:rsid w:val="003166C8"/>
    <w:rsid w:val="00327977"/>
    <w:rsid w:val="003310F4"/>
    <w:rsid w:val="0034134C"/>
    <w:rsid w:val="0034259A"/>
    <w:rsid w:val="0034282F"/>
    <w:rsid w:val="00343AB3"/>
    <w:rsid w:val="003519C9"/>
    <w:rsid w:val="003651F5"/>
    <w:rsid w:val="003804FD"/>
    <w:rsid w:val="00382303"/>
    <w:rsid w:val="00382DA7"/>
    <w:rsid w:val="003932D0"/>
    <w:rsid w:val="003958FD"/>
    <w:rsid w:val="003A35FA"/>
    <w:rsid w:val="003A4094"/>
    <w:rsid w:val="003B5DB7"/>
    <w:rsid w:val="003B78DA"/>
    <w:rsid w:val="003C1F9B"/>
    <w:rsid w:val="003C4A8A"/>
    <w:rsid w:val="003D19ED"/>
    <w:rsid w:val="003D4AE2"/>
    <w:rsid w:val="003E3ECB"/>
    <w:rsid w:val="003E49DC"/>
    <w:rsid w:val="003F14A7"/>
    <w:rsid w:val="003F6640"/>
    <w:rsid w:val="00410E19"/>
    <w:rsid w:val="0041445E"/>
    <w:rsid w:val="00415B38"/>
    <w:rsid w:val="004212F7"/>
    <w:rsid w:val="004245A2"/>
    <w:rsid w:val="00433E7D"/>
    <w:rsid w:val="00440F40"/>
    <w:rsid w:val="00442272"/>
    <w:rsid w:val="0044248F"/>
    <w:rsid w:val="00450DF8"/>
    <w:rsid w:val="00451765"/>
    <w:rsid w:val="004541F5"/>
    <w:rsid w:val="00461978"/>
    <w:rsid w:val="00463E3F"/>
    <w:rsid w:val="00464C2F"/>
    <w:rsid w:val="00474BB9"/>
    <w:rsid w:val="0048653B"/>
    <w:rsid w:val="00494934"/>
    <w:rsid w:val="004A182B"/>
    <w:rsid w:val="004A3316"/>
    <w:rsid w:val="004B32A8"/>
    <w:rsid w:val="004B7512"/>
    <w:rsid w:val="004C2B93"/>
    <w:rsid w:val="004C7BDF"/>
    <w:rsid w:val="004C7E02"/>
    <w:rsid w:val="004D0C87"/>
    <w:rsid w:val="004D32DB"/>
    <w:rsid w:val="004D4847"/>
    <w:rsid w:val="004D59C5"/>
    <w:rsid w:val="004E0437"/>
    <w:rsid w:val="0050096E"/>
    <w:rsid w:val="00501F80"/>
    <w:rsid w:val="005048FC"/>
    <w:rsid w:val="00512DDE"/>
    <w:rsid w:val="005157C3"/>
    <w:rsid w:val="0051648E"/>
    <w:rsid w:val="00517F75"/>
    <w:rsid w:val="00525E1D"/>
    <w:rsid w:val="0053282A"/>
    <w:rsid w:val="0053301D"/>
    <w:rsid w:val="0053678C"/>
    <w:rsid w:val="0054204E"/>
    <w:rsid w:val="005463D0"/>
    <w:rsid w:val="00566664"/>
    <w:rsid w:val="00570681"/>
    <w:rsid w:val="00571D4A"/>
    <w:rsid w:val="00577840"/>
    <w:rsid w:val="00580DDA"/>
    <w:rsid w:val="00581AC4"/>
    <w:rsid w:val="005823D5"/>
    <w:rsid w:val="0059263D"/>
    <w:rsid w:val="005A3BF8"/>
    <w:rsid w:val="005B4EDE"/>
    <w:rsid w:val="005B6153"/>
    <w:rsid w:val="005B676E"/>
    <w:rsid w:val="005B7052"/>
    <w:rsid w:val="005B735B"/>
    <w:rsid w:val="005C1E8F"/>
    <w:rsid w:val="005C2A55"/>
    <w:rsid w:val="005C41D9"/>
    <w:rsid w:val="005D0C03"/>
    <w:rsid w:val="005D2C8C"/>
    <w:rsid w:val="005D392B"/>
    <w:rsid w:val="005F3CD7"/>
    <w:rsid w:val="005F44C8"/>
    <w:rsid w:val="0060368E"/>
    <w:rsid w:val="0060696E"/>
    <w:rsid w:val="00612A5C"/>
    <w:rsid w:val="00613425"/>
    <w:rsid w:val="00616E37"/>
    <w:rsid w:val="00633490"/>
    <w:rsid w:val="006371B5"/>
    <w:rsid w:val="00640955"/>
    <w:rsid w:val="006500D7"/>
    <w:rsid w:val="00651CD6"/>
    <w:rsid w:val="00655342"/>
    <w:rsid w:val="00660900"/>
    <w:rsid w:val="00661103"/>
    <w:rsid w:val="00662A0F"/>
    <w:rsid w:val="00666AF1"/>
    <w:rsid w:val="00667751"/>
    <w:rsid w:val="00672CDB"/>
    <w:rsid w:val="00674553"/>
    <w:rsid w:val="00681E6B"/>
    <w:rsid w:val="006839BB"/>
    <w:rsid w:val="00697FC6"/>
    <w:rsid w:val="006A4D8E"/>
    <w:rsid w:val="006B2D54"/>
    <w:rsid w:val="006C3FF5"/>
    <w:rsid w:val="006D5A48"/>
    <w:rsid w:val="006E016B"/>
    <w:rsid w:val="006F5A47"/>
    <w:rsid w:val="0070216E"/>
    <w:rsid w:val="00703A3E"/>
    <w:rsid w:val="0070486D"/>
    <w:rsid w:val="00713EFE"/>
    <w:rsid w:val="00720F46"/>
    <w:rsid w:val="00721D65"/>
    <w:rsid w:val="00733672"/>
    <w:rsid w:val="00735825"/>
    <w:rsid w:val="00753340"/>
    <w:rsid w:val="007559FD"/>
    <w:rsid w:val="007660CC"/>
    <w:rsid w:val="00776D8D"/>
    <w:rsid w:val="00777E73"/>
    <w:rsid w:val="0078187E"/>
    <w:rsid w:val="00782104"/>
    <w:rsid w:val="007847DF"/>
    <w:rsid w:val="00787C24"/>
    <w:rsid w:val="0079136B"/>
    <w:rsid w:val="0079153C"/>
    <w:rsid w:val="007A4AFF"/>
    <w:rsid w:val="007A590A"/>
    <w:rsid w:val="007B3C66"/>
    <w:rsid w:val="007B7C38"/>
    <w:rsid w:val="007C0D0D"/>
    <w:rsid w:val="007D08D1"/>
    <w:rsid w:val="007D4188"/>
    <w:rsid w:val="007D4FAF"/>
    <w:rsid w:val="007E0077"/>
    <w:rsid w:val="007E25B9"/>
    <w:rsid w:val="007F419B"/>
    <w:rsid w:val="007F5F45"/>
    <w:rsid w:val="007F6515"/>
    <w:rsid w:val="00801E50"/>
    <w:rsid w:val="008020A7"/>
    <w:rsid w:val="0080321F"/>
    <w:rsid w:val="00810E14"/>
    <w:rsid w:val="00817D7A"/>
    <w:rsid w:val="0082025E"/>
    <w:rsid w:val="008442AF"/>
    <w:rsid w:val="00844D44"/>
    <w:rsid w:val="008457D0"/>
    <w:rsid w:val="00846865"/>
    <w:rsid w:val="00847987"/>
    <w:rsid w:val="00854BFC"/>
    <w:rsid w:val="008564D7"/>
    <w:rsid w:val="00865EC3"/>
    <w:rsid w:val="008665FF"/>
    <w:rsid w:val="0087244F"/>
    <w:rsid w:val="00876AC6"/>
    <w:rsid w:val="00884A35"/>
    <w:rsid w:val="0088517B"/>
    <w:rsid w:val="0088633E"/>
    <w:rsid w:val="008922A1"/>
    <w:rsid w:val="008B64FA"/>
    <w:rsid w:val="008C34B3"/>
    <w:rsid w:val="008C398E"/>
    <w:rsid w:val="008C3B28"/>
    <w:rsid w:val="008D0B84"/>
    <w:rsid w:val="008D12FA"/>
    <w:rsid w:val="008D461D"/>
    <w:rsid w:val="008E1EA2"/>
    <w:rsid w:val="008E4B4C"/>
    <w:rsid w:val="008E61FD"/>
    <w:rsid w:val="008F3660"/>
    <w:rsid w:val="0090115E"/>
    <w:rsid w:val="0090612B"/>
    <w:rsid w:val="0092188C"/>
    <w:rsid w:val="00925253"/>
    <w:rsid w:val="00942A1F"/>
    <w:rsid w:val="009433AE"/>
    <w:rsid w:val="00962A17"/>
    <w:rsid w:val="00984B5E"/>
    <w:rsid w:val="009853AF"/>
    <w:rsid w:val="0098607C"/>
    <w:rsid w:val="00992C20"/>
    <w:rsid w:val="00992F2A"/>
    <w:rsid w:val="0099792E"/>
    <w:rsid w:val="009B2629"/>
    <w:rsid w:val="009B42EC"/>
    <w:rsid w:val="009C0BB4"/>
    <w:rsid w:val="009C3377"/>
    <w:rsid w:val="009D36B9"/>
    <w:rsid w:val="009D62C4"/>
    <w:rsid w:val="009E7511"/>
    <w:rsid w:val="00A126B8"/>
    <w:rsid w:val="00A156DA"/>
    <w:rsid w:val="00A16BDB"/>
    <w:rsid w:val="00A26E92"/>
    <w:rsid w:val="00A324B9"/>
    <w:rsid w:val="00A40D6C"/>
    <w:rsid w:val="00A42DC3"/>
    <w:rsid w:val="00A500AF"/>
    <w:rsid w:val="00A5296F"/>
    <w:rsid w:val="00A67F1E"/>
    <w:rsid w:val="00A72EF6"/>
    <w:rsid w:val="00A77F31"/>
    <w:rsid w:val="00A81931"/>
    <w:rsid w:val="00AA3F5A"/>
    <w:rsid w:val="00AB787A"/>
    <w:rsid w:val="00AC014F"/>
    <w:rsid w:val="00AC2772"/>
    <w:rsid w:val="00AC5D48"/>
    <w:rsid w:val="00AD26A1"/>
    <w:rsid w:val="00AE3569"/>
    <w:rsid w:val="00AE56BF"/>
    <w:rsid w:val="00AE5B9B"/>
    <w:rsid w:val="00AF0E0F"/>
    <w:rsid w:val="00AF5768"/>
    <w:rsid w:val="00AF6DFA"/>
    <w:rsid w:val="00B034D1"/>
    <w:rsid w:val="00B156D9"/>
    <w:rsid w:val="00B16B80"/>
    <w:rsid w:val="00B220C4"/>
    <w:rsid w:val="00B24D4A"/>
    <w:rsid w:val="00B254C3"/>
    <w:rsid w:val="00B26524"/>
    <w:rsid w:val="00B3064F"/>
    <w:rsid w:val="00B30F2A"/>
    <w:rsid w:val="00B327C2"/>
    <w:rsid w:val="00B33559"/>
    <w:rsid w:val="00B35830"/>
    <w:rsid w:val="00B3702C"/>
    <w:rsid w:val="00B454F4"/>
    <w:rsid w:val="00B5268D"/>
    <w:rsid w:val="00B55D2C"/>
    <w:rsid w:val="00B61B66"/>
    <w:rsid w:val="00B6279B"/>
    <w:rsid w:val="00B635F5"/>
    <w:rsid w:val="00B636AA"/>
    <w:rsid w:val="00B64E24"/>
    <w:rsid w:val="00B66465"/>
    <w:rsid w:val="00B67253"/>
    <w:rsid w:val="00B8300B"/>
    <w:rsid w:val="00B83B8B"/>
    <w:rsid w:val="00B86B7C"/>
    <w:rsid w:val="00B950E9"/>
    <w:rsid w:val="00B97EE2"/>
    <w:rsid w:val="00BA09C0"/>
    <w:rsid w:val="00BA736B"/>
    <w:rsid w:val="00BA7F99"/>
    <w:rsid w:val="00BC4303"/>
    <w:rsid w:val="00BC64A1"/>
    <w:rsid w:val="00BD733C"/>
    <w:rsid w:val="00BE1514"/>
    <w:rsid w:val="00BE3A27"/>
    <w:rsid w:val="00BE45E8"/>
    <w:rsid w:val="00BE4847"/>
    <w:rsid w:val="00BE5C40"/>
    <w:rsid w:val="00BE736C"/>
    <w:rsid w:val="00BF0D15"/>
    <w:rsid w:val="00BF601A"/>
    <w:rsid w:val="00C06C21"/>
    <w:rsid w:val="00C2195A"/>
    <w:rsid w:val="00C23C1A"/>
    <w:rsid w:val="00C2439B"/>
    <w:rsid w:val="00C3042F"/>
    <w:rsid w:val="00C31A52"/>
    <w:rsid w:val="00C33173"/>
    <w:rsid w:val="00C3508F"/>
    <w:rsid w:val="00C35658"/>
    <w:rsid w:val="00C41C41"/>
    <w:rsid w:val="00C42F7B"/>
    <w:rsid w:val="00C53CB4"/>
    <w:rsid w:val="00C6516C"/>
    <w:rsid w:val="00C66B21"/>
    <w:rsid w:val="00C92F1B"/>
    <w:rsid w:val="00C95CE1"/>
    <w:rsid w:val="00CB26F5"/>
    <w:rsid w:val="00CC6155"/>
    <w:rsid w:val="00CD22C0"/>
    <w:rsid w:val="00CE5A78"/>
    <w:rsid w:val="00CF0D19"/>
    <w:rsid w:val="00CF39A6"/>
    <w:rsid w:val="00D04F98"/>
    <w:rsid w:val="00D12BB8"/>
    <w:rsid w:val="00D14097"/>
    <w:rsid w:val="00D14EFE"/>
    <w:rsid w:val="00D16390"/>
    <w:rsid w:val="00D20514"/>
    <w:rsid w:val="00D20C8E"/>
    <w:rsid w:val="00D20D75"/>
    <w:rsid w:val="00D212BE"/>
    <w:rsid w:val="00D21A9E"/>
    <w:rsid w:val="00D23060"/>
    <w:rsid w:val="00D26B4A"/>
    <w:rsid w:val="00D309D6"/>
    <w:rsid w:val="00D33F68"/>
    <w:rsid w:val="00D41588"/>
    <w:rsid w:val="00D44611"/>
    <w:rsid w:val="00D66599"/>
    <w:rsid w:val="00D728F5"/>
    <w:rsid w:val="00D8609A"/>
    <w:rsid w:val="00D9262C"/>
    <w:rsid w:val="00D972CF"/>
    <w:rsid w:val="00DA4099"/>
    <w:rsid w:val="00DA43F0"/>
    <w:rsid w:val="00DB4591"/>
    <w:rsid w:val="00DB4FCA"/>
    <w:rsid w:val="00DC2EC6"/>
    <w:rsid w:val="00DC783D"/>
    <w:rsid w:val="00DD0DE2"/>
    <w:rsid w:val="00DE184B"/>
    <w:rsid w:val="00DE7ED9"/>
    <w:rsid w:val="00DF1791"/>
    <w:rsid w:val="00DF2792"/>
    <w:rsid w:val="00DF2D45"/>
    <w:rsid w:val="00DF33A4"/>
    <w:rsid w:val="00DF4406"/>
    <w:rsid w:val="00DF44B3"/>
    <w:rsid w:val="00DF79C4"/>
    <w:rsid w:val="00E01D5C"/>
    <w:rsid w:val="00E054D4"/>
    <w:rsid w:val="00E1039E"/>
    <w:rsid w:val="00E423B9"/>
    <w:rsid w:val="00E46C6E"/>
    <w:rsid w:val="00E54FF3"/>
    <w:rsid w:val="00E56E1A"/>
    <w:rsid w:val="00E6730B"/>
    <w:rsid w:val="00E7183F"/>
    <w:rsid w:val="00E74AF4"/>
    <w:rsid w:val="00E7675B"/>
    <w:rsid w:val="00E83541"/>
    <w:rsid w:val="00E876C2"/>
    <w:rsid w:val="00EA4089"/>
    <w:rsid w:val="00EB4491"/>
    <w:rsid w:val="00EB5320"/>
    <w:rsid w:val="00EB7946"/>
    <w:rsid w:val="00EC0787"/>
    <w:rsid w:val="00ED4253"/>
    <w:rsid w:val="00EE5E52"/>
    <w:rsid w:val="00EF673D"/>
    <w:rsid w:val="00EF75C4"/>
    <w:rsid w:val="00F1157B"/>
    <w:rsid w:val="00F1466E"/>
    <w:rsid w:val="00F24D2C"/>
    <w:rsid w:val="00F26C6B"/>
    <w:rsid w:val="00F328B5"/>
    <w:rsid w:val="00F3502B"/>
    <w:rsid w:val="00F35891"/>
    <w:rsid w:val="00F4033F"/>
    <w:rsid w:val="00F415D6"/>
    <w:rsid w:val="00F564B7"/>
    <w:rsid w:val="00F57F4F"/>
    <w:rsid w:val="00F61CF7"/>
    <w:rsid w:val="00F75E8B"/>
    <w:rsid w:val="00F8175D"/>
    <w:rsid w:val="00F81F5C"/>
    <w:rsid w:val="00F83032"/>
    <w:rsid w:val="00F85570"/>
    <w:rsid w:val="00F85E35"/>
    <w:rsid w:val="00FA2A77"/>
    <w:rsid w:val="00FB20A1"/>
    <w:rsid w:val="00FB3DE8"/>
    <w:rsid w:val="00FC206B"/>
    <w:rsid w:val="00FC588F"/>
    <w:rsid w:val="00FC799E"/>
    <w:rsid w:val="00FE1A25"/>
    <w:rsid w:val="00FE21DA"/>
    <w:rsid w:val="00FF2D97"/>
    <w:rsid w:val="00FF3930"/>
    <w:rsid w:val="00FF512A"/>
    <w:rsid w:val="00FF54C5"/>
    <w:rsid w:val="00FF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0957E8"/>
  <w15:chartTrackingRefBased/>
  <w15:docId w15:val="{AFF91B48-0AE9-493C-AFD4-E991B5D9B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1E50"/>
    <w:pPr>
      <w:spacing w:afterLines="80" w:after="80" w:line="300" w:lineRule="auto"/>
      <w:jc w:val="both"/>
    </w:pPr>
    <w:rPr>
      <w:rFonts w:ascii="Arial" w:hAnsi="Arial" w:cs="Arial"/>
      <w:noProof/>
      <w:snapToGrid w:val="0"/>
      <w:lang w:eastAsia="en-US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b/>
      <w:bCs/>
      <w:kern w:val="28"/>
      <w:sz w:val="28"/>
      <w:szCs w:val="28"/>
      <w:lang w:val="sk-SK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spacing w:line="240" w:lineRule="atLeast"/>
      <w:outlineLvl w:val="2"/>
    </w:pPr>
    <w:rPr>
      <w:b/>
      <w:bCs/>
      <w:color w:val="000000"/>
      <w:lang w:val="en-GB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  <w:sz w:val="24"/>
      <w:szCs w:val="24"/>
      <w:lang w:val="en-GB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pPr>
      <w:tabs>
        <w:tab w:val="center" w:pos="4153"/>
        <w:tab w:val="right" w:pos="8306"/>
      </w:tabs>
    </w:pPr>
  </w:style>
  <w:style w:type="paragraph" w:styleId="Zpat">
    <w:name w:val="footer"/>
    <w:basedOn w:val="Normln"/>
    <w:semiHidden/>
    <w:pPr>
      <w:tabs>
        <w:tab w:val="center" w:pos="4153"/>
        <w:tab w:val="right" w:pos="8306"/>
      </w:tabs>
    </w:pPr>
  </w:style>
  <w:style w:type="paragraph" w:customStyle="1" w:styleId="ABLOCKPARA">
    <w:name w:val="A BLOCK PARA"/>
    <w:basedOn w:val="Normln"/>
    <w:rPr>
      <w:lang w:val="sk-SK"/>
    </w:rPr>
  </w:style>
  <w:style w:type="character" w:styleId="Hypertextovodkaz">
    <w:name w:val="Hyperlink"/>
    <w:uiPriority w:val="99"/>
    <w:rPr>
      <w:color w:val="0000FF"/>
      <w:u w:val="single"/>
    </w:rPr>
  </w:style>
  <w:style w:type="paragraph" w:styleId="Zkladntext">
    <w:name w:val="Body Text"/>
    <w:basedOn w:val="Normln"/>
    <w:semiHidden/>
    <w:rPr>
      <w:lang w:val="sk-SK"/>
    </w:rPr>
  </w:style>
  <w:style w:type="paragraph" w:customStyle="1" w:styleId="FormtovanvHTML1">
    <w:name w:val="Formátovaný v HTML1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imes New Roman" w:hAnsi="Times New Roman"/>
    </w:rPr>
  </w:style>
  <w:style w:type="paragraph" w:styleId="Zkladntextodsazen">
    <w:name w:val="Body Text Indent"/>
    <w:basedOn w:val="Normln"/>
    <w:semiHidden/>
    <w:rPr>
      <w:rFonts w:ascii="Times New Roman" w:hAnsi="Times New Roman"/>
      <w:sz w:val="24"/>
      <w:szCs w:val="24"/>
    </w:rPr>
  </w:style>
  <w:style w:type="character" w:customStyle="1" w:styleId="bod1">
    <w:name w:val="bod1"/>
    <w:rPr>
      <w:rFonts w:ascii="Arial" w:hAnsi="Arial" w:cs="Arial"/>
      <w:sz w:val="18"/>
      <w:szCs w:val="18"/>
    </w:rPr>
  </w:style>
  <w:style w:type="paragraph" w:styleId="Normlnweb">
    <w:name w:val="Normal (Web)"/>
    <w:basedOn w:val="Normln"/>
    <w:semiHidden/>
    <w:pPr>
      <w:spacing w:before="100" w:beforeAutospacing="1" w:after="100" w:afterAutospacing="1"/>
    </w:pPr>
    <w:rPr>
      <w:sz w:val="18"/>
      <w:szCs w:val="18"/>
      <w:lang w:val="en-GB"/>
    </w:rPr>
  </w:style>
  <w:style w:type="character" w:styleId="Siln">
    <w:name w:val="Strong"/>
    <w:uiPriority w:val="22"/>
    <w:qFormat/>
    <w:rPr>
      <w:b/>
      <w:bCs/>
    </w:rPr>
  </w:style>
  <w:style w:type="paragraph" w:customStyle="1" w:styleId="Textbubliny1">
    <w:name w:val="Text bubliny1"/>
    <w:basedOn w:val="Normln"/>
    <w:rPr>
      <w:rFonts w:ascii="Times New Roman" w:hAnsi="Times New Roman"/>
      <w:sz w:val="16"/>
      <w:szCs w:val="16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</w:style>
  <w:style w:type="paragraph" w:customStyle="1" w:styleId="Pedmtkomente1">
    <w:name w:val="Předmět komentáře1"/>
    <w:basedOn w:val="Textkomente"/>
    <w:next w:val="Textkomente"/>
    <w:rPr>
      <w:b/>
      <w:bCs/>
    </w:rPr>
  </w:style>
  <w:style w:type="paragraph" w:styleId="Prosttext">
    <w:name w:val="Plain Text"/>
    <w:basedOn w:val="Normln"/>
    <w:semiHidden/>
    <w:rPr>
      <w:rFonts w:ascii="Courier New" w:hAnsi="Courier New" w:cs="Courier New"/>
    </w:rPr>
  </w:style>
  <w:style w:type="character" w:styleId="Sledovanodkaz">
    <w:name w:val="FollowedHyperlink"/>
    <w:semiHidden/>
    <w:rPr>
      <w:color w:val="800080"/>
      <w:u w:val="single"/>
    </w:rPr>
  </w:style>
  <w:style w:type="paragraph" w:customStyle="1" w:styleId="Odstavecseseznamem1">
    <w:name w:val="Odstavec se seznamem1"/>
    <w:basedOn w:val="Normln"/>
    <w:pPr>
      <w:spacing w:after="200" w:line="276" w:lineRule="auto"/>
      <w:ind w:left="720"/>
    </w:pPr>
    <w:rPr>
      <w:rFonts w:ascii="Calibri" w:hAnsi="Calibri"/>
    </w:rPr>
  </w:style>
  <w:style w:type="paragraph" w:customStyle="1" w:styleId="COVNormal">
    <w:name w:val="COV_Normal"/>
    <w:basedOn w:val="Normln"/>
    <w:pPr>
      <w:spacing w:before="120" w:after="120"/>
      <w:ind w:left="2279"/>
    </w:pPr>
  </w:style>
  <w:style w:type="paragraph" w:customStyle="1" w:styleId="default">
    <w:name w:val="default"/>
    <w:basedOn w:val="Normln"/>
    <w:pPr>
      <w:autoSpaceDE w:val="0"/>
      <w:autoSpaceDN w:val="0"/>
    </w:pPr>
    <w:rPr>
      <w:rFonts w:ascii="Times New Roman" w:hAnsi="Times New Roman"/>
      <w:color w:val="000000"/>
      <w:sz w:val="24"/>
      <w:szCs w:val="24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6E1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56E1A"/>
    <w:rPr>
      <w:rFonts w:ascii="Tahoma" w:hAnsi="Tahoma" w:cs="Tahoma"/>
      <w:snapToGrid w:val="0"/>
      <w:sz w:val="16"/>
      <w:szCs w:val="16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40F40"/>
    <w:rPr>
      <w:b/>
      <w:bCs/>
    </w:rPr>
  </w:style>
  <w:style w:type="character" w:customStyle="1" w:styleId="TextkomenteChar">
    <w:name w:val="Text komentáře Char"/>
    <w:link w:val="Textkomente"/>
    <w:uiPriority w:val="99"/>
    <w:rsid w:val="00440F40"/>
    <w:rPr>
      <w:rFonts w:ascii="Book Antiqua" w:hAnsi="Book Antiqua"/>
      <w:snapToGrid w:val="0"/>
      <w:lang w:val="en-US" w:eastAsia="en-US"/>
    </w:rPr>
  </w:style>
  <w:style w:type="character" w:customStyle="1" w:styleId="PedmtkomenteChar">
    <w:name w:val="Předmět komentáře Char"/>
    <w:link w:val="Pedmtkomente"/>
    <w:rsid w:val="00440F40"/>
    <w:rPr>
      <w:rFonts w:ascii="Book Antiqua" w:hAnsi="Book Antiqua"/>
      <w:snapToGrid w:val="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B83B8B"/>
    <w:pPr>
      <w:ind w:left="720"/>
      <w:contextualSpacing/>
    </w:pPr>
  </w:style>
  <w:style w:type="paragraph" w:styleId="Revize">
    <w:name w:val="Revision"/>
    <w:hidden/>
    <w:uiPriority w:val="99"/>
    <w:semiHidden/>
    <w:rsid w:val="007660CC"/>
    <w:rPr>
      <w:rFonts w:ascii="Book Antiqua" w:hAnsi="Book Antiqua"/>
      <w:snapToGrid w:val="0"/>
      <w:sz w:val="22"/>
      <w:szCs w:val="22"/>
      <w:lang w:val="en-US" w:eastAsia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034DB3"/>
    <w:rPr>
      <w:rFonts w:ascii="Calibri" w:eastAsia="Calibri" w:hAnsi="Calibri"/>
      <w:snapToGrid/>
      <w:lang w:eastAsia="en-GB"/>
    </w:rPr>
  </w:style>
  <w:style w:type="character" w:customStyle="1" w:styleId="TextpoznpodarouChar">
    <w:name w:val="Text pozn. pod čarou Char"/>
    <w:link w:val="Textpoznpodarou"/>
    <w:uiPriority w:val="99"/>
    <w:rsid w:val="00034DB3"/>
    <w:rPr>
      <w:rFonts w:ascii="Calibri" w:eastAsia="Calibri" w:hAnsi="Calibri"/>
      <w:lang w:val="en-US" w:eastAsia="en-GB"/>
    </w:rPr>
  </w:style>
  <w:style w:type="character" w:styleId="Znakapoznpodarou">
    <w:name w:val="footnote reference"/>
    <w:uiPriority w:val="99"/>
    <w:semiHidden/>
    <w:unhideWhenUsed/>
    <w:rsid w:val="00034DB3"/>
    <w:rPr>
      <w:vertAlign w:val="superscript"/>
    </w:rPr>
  </w:style>
  <w:style w:type="character" w:customStyle="1" w:styleId="ZhlavChar">
    <w:name w:val="Záhlaví Char"/>
    <w:link w:val="Zhlav"/>
    <w:semiHidden/>
    <w:rsid w:val="003006BF"/>
    <w:rPr>
      <w:rFonts w:ascii="Book Antiqua" w:hAnsi="Book Antiqua"/>
      <w:snapToGrid w:val="0"/>
      <w:sz w:val="22"/>
      <w:szCs w:val="22"/>
      <w:lang w:val="en-US" w:eastAsia="en-US"/>
    </w:rPr>
  </w:style>
  <w:style w:type="paragraph" w:styleId="Bezmezer">
    <w:name w:val="No Spacing"/>
    <w:uiPriority w:val="1"/>
    <w:qFormat/>
    <w:rsid w:val="0098607C"/>
    <w:pPr>
      <w:spacing w:afterLines="80"/>
      <w:jc w:val="both"/>
    </w:pPr>
    <w:rPr>
      <w:rFonts w:ascii="Arial" w:hAnsi="Arial" w:cs="Arial"/>
      <w:noProof/>
      <w:snapToGrid w:val="0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1A06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7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7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80147">
          <w:marLeft w:val="0"/>
          <w:marRight w:val="0"/>
          <w:marTop w:val="90"/>
          <w:marBottom w:val="75"/>
          <w:divBdr>
            <w:top w:val="dashed" w:sz="6" w:space="5" w:color="B2B2B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146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463532">
          <w:marLeft w:val="0"/>
          <w:marRight w:val="0"/>
          <w:marTop w:val="9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centure.com/us-en/insights/strategy/european-double-up" TargetMode="Externa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mailto:marketa.cinkova@aspen.p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etr.jarkovsky@aspen.p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ccenture.com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8D3A6-2019-4BCE-84AF-81A8D639A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841</Words>
  <Characters>4964</Characters>
  <Application>Microsoft Office Word</Application>
  <DocSecurity>0</DocSecurity>
  <Lines>41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Accenture</Company>
  <LinksUpToDate>false</LinksUpToDate>
  <CharactersWithSpaces>5794</CharactersWithSpaces>
  <SharedDoc>false</SharedDoc>
  <HLinks>
    <vt:vector size="18" baseType="variant">
      <vt:variant>
        <vt:i4>7667734</vt:i4>
      </vt:variant>
      <vt:variant>
        <vt:i4>6</vt:i4>
      </vt:variant>
      <vt:variant>
        <vt:i4>0</vt:i4>
      </vt:variant>
      <vt:variant>
        <vt:i4>5</vt:i4>
      </vt:variant>
      <vt:variant>
        <vt:lpwstr>mailto:marketa.cinkova@aspen.pr</vt:lpwstr>
      </vt:variant>
      <vt:variant>
        <vt:lpwstr/>
      </vt:variant>
      <vt:variant>
        <vt:i4>5570607</vt:i4>
      </vt:variant>
      <vt:variant>
        <vt:i4>3</vt:i4>
      </vt:variant>
      <vt:variant>
        <vt:i4>0</vt:i4>
      </vt:variant>
      <vt:variant>
        <vt:i4>5</vt:i4>
      </vt:variant>
      <vt:variant>
        <vt:lpwstr>mailto:petr.jarkovsky@aspen.pr</vt:lpwstr>
      </vt:variant>
      <vt:variant>
        <vt:lpwstr/>
      </vt:variant>
      <vt:variant>
        <vt:i4>5832721</vt:i4>
      </vt:variant>
      <vt:variant>
        <vt:i4>0</vt:i4>
      </vt:variant>
      <vt:variant>
        <vt:i4>0</vt:i4>
      </vt:variant>
      <vt:variant>
        <vt:i4>5</vt:i4>
      </vt:variant>
      <vt:variant>
        <vt:lpwstr>http://www.accenture.com/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Ciňková Markéta</dc:creator>
  <cp:keywords/>
  <cp:lastModifiedBy>Šárka</cp:lastModifiedBy>
  <cp:revision>2</cp:revision>
  <cp:lastPrinted>2004-08-03T08:51:00Z</cp:lastPrinted>
  <dcterms:created xsi:type="dcterms:W3CDTF">2021-02-08T10:17:00Z</dcterms:created>
  <dcterms:modified xsi:type="dcterms:W3CDTF">2021-02-08T10:17:00Z</dcterms:modified>
</cp:coreProperties>
</file>