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AC18CB" w14:textId="77777777" w:rsidR="001834FA" w:rsidRPr="000108F0" w:rsidRDefault="001834FA" w:rsidP="00EC700E">
      <w:pPr>
        <w:pStyle w:val="Zkladntext"/>
        <w:spacing w:after="192"/>
        <w:rPr>
          <w:rFonts w:asciiTheme="minorHAnsi" w:hAnsiTheme="minorHAnsi" w:cstheme="minorHAnsi"/>
          <w:sz w:val="28"/>
          <w:szCs w:val="28"/>
          <w:lang w:val="cs-CZ"/>
        </w:rPr>
      </w:pPr>
    </w:p>
    <w:p w14:paraId="4B3FE083" w14:textId="176222F0" w:rsidR="001834FA" w:rsidRPr="000108F0" w:rsidRDefault="00231C42" w:rsidP="00EC700E">
      <w:pPr>
        <w:pStyle w:val="Zkladntext"/>
        <w:spacing w:after="192"/>
        <w:rPr>
          <w:rFonts w:asciiTheme="minorHAnsi" w:hAnsiTheme="minorHAnsi" w:cstheme="minorHAnsi"/>
          <w:sz w:val="28"/>
          <w:szCs w:val="28"/>
          <w:lang w:val="cs-CZ"/>
        </w:rPr>
      </w:pPr>
      <w:r w:rsidRPr="000108F0">
        <w:rPr>
          <w:rFonts w:asciiTheme="minorHAnsi" w:hAnsiTheme="minorHAnsi" w:cstheme="minorHAnsi"/>
          <w:sz w:val="28"/>
          <w:szCs w:val="28"/>
          <w:lang w:val="cs-CZ"/>
        </w:rPr>
        <w:tab/>
      </w:r>
      <w:r w:rsidR="00EC700E" w:rsidRPr="000108F0">
        <w:rPr>
          <w:rFonts w:asciiTheme="minorHAnsi" w:hAnsiTheme="minorHAnsi" w:cstheme="minorHAnsi"/>
          <w:sz w:val="28"/>
          <w:szCs w:val="28"/>
          <w:lang w:val="cs-CZ"/>
        </w:rPr>
        <w:tab/>
      </w:r>
      <w:r w:rsidR="003B7ADB" w:rsidRPr="000108F0">
        <w:rPr>
          <w:rFonts w:asciiTheme="minorHAnsi" w:hAnsiTheme="minorHAnsi" w:cstheme="minorHAnsi"/>
          <w:sz w:val="28"/>
          <w:szCs w:val="28"/>
          <w:lang w:val="cs-CZ"/>
        </w:rPr>
        <w:tab/>
      </w:r>
      <w:r w:rsidR="00A214A7" w:rsidRPr="000108F0">
        <w:rPr>
          <w:rFonts w:asciiTheme="minorHAnsi" w:hAnsiTheme="minorHAnsi" w:cstheme="minorHAnsi"/>
          <w:sz w:val="28"/>
          <w:szCs w:val="28"/>
          <w:lang w:val="cs-CZ"/>
        </w:rPr>
        <w:tab/>
      </w:r>
      <w:r w:rsidR="001834FA" w:rsidRPr="000108F0">
        <w:rPr>
          <w:rFonts w:asciiTheme="minorHAnsi" w:hAnsiTheme="minorHAnsi" w:cstheme="minorHAnsi"/>
          <w:sz w:val="28"/>
          <w:szCs w:val="28"/>
          <w:lang w:val="cs-CZ"/>
        </w:rPr>
        <w:tab/>
      </w:r>
      <w:r w:rsidR="001834FA" w:rsidRPr="000108F0">
        <w:rPr>
          <w:rFonts w:asciiTheme="minorHAnsi" w:hAnsiTheme="minorHAnsi" w:cstheme="minorHAnsi"/>
          <w:sz w:val="28"/>
          <w:szCs w:val="28"/>
          <w:lang w:val="cs-CZ"/>
        </w:rPr>
        <w:tab/>
      </w:r>
      <w:r w:rsidR="001834FA" w:rsidRPr="000108F0">
        <w:rPr>
          <w:rFonts w:asciiTheme="minorHAnsi" w:hAnsiTheme="minorHAnsi" w:cstheme="minorHAnsi"/>
          <w:sz w:val="28"/>
          <w:szCs w:val="28"/>
          <w:lang w:val="cs-CZ"/>
        </w:rPr>
        <w:tab/>
      </w:r>
      <w:r w:rsidR="001834FA" w:rsidRPr="000108F0">
        <w:rPr>
          <w:rFonts w:asciiTheme="minorHAnsi" w:hAnsiTheme="minorHAnsi" w:cstheme="minorHAnsi"/>
          <w:sz w:val="28"/>
          <w:szCs w:val="28"/>
          <w:lang w:val="cs-CZ"/>
        </w:rPr>
        <w:tab/>
      </w:r>
      <w:r w:rsidR="001834FA" w:rsidRPr="000108F0">
        <w:rPr>
          <w:rFonts w:asciiTheme="minorHAnsi" w:hAnsiTheme="minorHAnsi" w:cstheme="minorHAnsi"/>
          <w:sz w:val="28"/>
          <w:szCs w:val="28"/>
          <w:lang w:val="cs-CZ"/>
        </w:rPr>
        <w:tab/>
      </w:r>
      <w:r w:rsidR="001834FA" w:rsidRPr="000108F0">
        <w:rPr>
          <w:rFonts w:asciiTheme="minorHAnsi" w:hAnsiTheme="minorHAnsi" w:cstheme="minorHAnsi"/>
          <w:sz w:val="28"/>
          <w:szCs w:val="28"/>
          <w:lang w:val="cs-CZ"/>
        </w:rPr>
        <w:tab/>
      </w:r>
      <w:r w:rsidR="00FB3D73">
        <w:rPr>
          <w:rFonts w:asciiTheme="minorHAnsi" w:hAnsiTheme="minorHAnsi" w:cstheme="minorHAnsi"/>
          <w:sz w:val="28"/>
          <w:szCs w:val="28"/>
          <w:lang w:val="cs-CZ"/>
        </w:rPr>
        <w:t>5. 2</w:t>
      </w:r>
      <w:r w:rsidR="001834FA" w:rsidRPr="000108F0">
        <w:rPr>
          <w:rFonts w:asciiTheme="minorHAnsi" w:hAnsiTheme="minorHAnsi" w:cstheme="minorHAnsi"/>
          <w:sz w:val="28"/>
          <w:szCs w:val="28"/>
          <w:lang w:val="cs-CZ"/>
        </w:rPr>
        <w:t>. 20</w:t>
      </w:r>
      <w:r w:rsidR="009662EF">
        <w:rPr>
          <w:rFonts w:asciiTheme="minorHAnsi" w:hAnsiTheme="minorHAnsi" w:cstheme="minorHAnsi"/>
          <w:sz w:val="28"/>
          <w:szCs w:val="28"/>
          <w:lang w:val="cs-CZ"/>
        </w:rPr>
        <w:t>21</w:t>
      </w:r>
    </w:p>
    <w:p w14:paraId="6C94E757" w14:textId="77777777" w:rsidR="00C510F1" w:rsidRPr="000108F0" w:rsidRDefault="00C510F1" w:rsidP="00EC700E">
      <w:pPr>
        <w:spacing w:before="120"/>
        <w:jc w:val="both"/>
        <w:rPr>
          <w:rFonts w:asciiTheme="minorHAnsi" w:hAnsiTheme="minorHAnsi" w:cstheme="minorHAnsi"/>
          <w:b/>
          <w:bCs/>
          <w:sz w:val="24"/>
          <w:szCs w:val="24"/>
          <w:lang w:val="cs-CZ"/>
        </w:rPr>
      </w:pPr>
    </w:p>
    <w:p w14:paraId="5782D0EE" w14:textId="5BE5B2EA" w:rsidR="003F6732" w:rsidRDefault="000108F0" w:rsidP="00EC700E">
      <w:pPr>
        <w:spacing w:after="0" w:line="240" w:lineRule="auto"/>
        <w:jc w:val="both"/>
        <w:rPr>
          <w:rFonts w:asciiTheme="minorHAnsi" w:hAnsiTheme="minorHAnsi" w:cstheme="minorHAnsi"/>
          <w:b/>
          <w:sz w:val="32"/>
          <w:szCs w:val="32"/>
          <w:lang w:val="cs-CZ"/>
        </w:rPr>
      </w:pPr>
      <w:r>
        <w:rPr>
          <w:rFonts w:asciiTheme="minorHAnsi" w:hAnsiTheme="minorHAnsi" w:cstheme="minorHAnsi"/>
          <w:b/>
          <w:sz w:val="32"/>
          <w:szCs w:val="32"/>
          <w:lang w:val="cs-CZ"/>
        </w:rPr>
        <w:t xml:space="preserve">Komentář: </w:t>
      </w:r>
      <w:r w:rsidRPr="000108F0">
        <w:rPr>
          <w:rFonts w:asciiTheme="minorHAnsi" w:hAnsiTheme="minorHAnsi" w:cstheme="minorHAnsi"/>
          <w:b/>
          <w:sz w:val="32"/>
          <w:szCs w:val="32"/>
          <w:lang w:val="cs-CZ"/>
        </w:rPr>
        <w:t>Ceny akcií, podnikových dluhopisů a rizikových aktiv</w:t>
      </w:r>
    </w:p>
    <w:p w14:paraId="734DC15B" w14:textId="77777777" w:rsidR="000108F0" w:rsidRPr="000108F0" w:rsidRDefault="000108F0" w:rsidP="00EC700E">
      <w:pPr>
        <w:spacing w:after="0" w:line="240" w:lineRule="auto"/>
        <w:jc w:val="both"/>
        <w:rPr>
          <w:rFonts w:asciiTheme="minorHAnsi" w:hAnsiTheme="minorHAnsi" w:cstheme="minorHAnsi"/>
          <w:sz w:val="22"/>
          <w:szCs w:val="22"/>
          <w:lang w:val="cs-CZ"/>
        </w:rPr>
      </w:pPr>
    </w:p>
    <w:p w14:paraId="38785DCA" w14:textId="6AE4C3D3" w:rsidR="000108F0" w:rsidRPr="000108F0" w:rsidRDefault="000108F0" w:rsidP="000108F0">
      <w:pPr>
        <w:spacing w:after="0" w:line="360" w:lineRule="auto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0108F0">
        <w:rPr>
          <w:rFonts w:asciiTheme="minorHAnsi" w:hAnsiTheme="minorHAnsi" w:cstheme="minorHAnsi"/>
          <w:sz w:val="22"/>
          <w:szCs w:val="22"/>
          <w:lang w:val="cs-CZ"/>
        </w:rPr>
        <w:t xml:space="preserve">Karel </w:t>
      </w:r>
      <w:proofErr w:type="spellStart"/>
      <w:r w:rsidRPr="000108F0">
        <w:rPr>
          <w:rFonts w:asciiTheme="minorHAnsi" w:hAnsiTheme="minorHAnsi" w:cstheme="minorHAnsi"/>
          <w:sz w:val="22"/>
          <w:szCs w:val="22"/>
          <w:lang w:val="cs-CZ"/>
        </w:rPr>
        <w:t>Kotoun</w:t>
      </w:r>
      <w:proofErr w:type="spellEnd"/>
      <w:r>
        <w:rPr>
          <w:rFonts w:asciiTheme="minorHAnsi" w:hAnsiTheme="minorHAnsi" w:cstheme="minorHAnsi"/>
          <w:sz w:val="22"/>
          <w:szCs w:val="22"/>
          <w:lang w:val="cs-CZ"/>
        </w:rPr>
        <w:t xml:space="preserve">, </w:t>
      </w:r>
      <w:r w:rsidRPr="000108F0">
        <w:rPr>
          <w:rFonts w:asciiTheme="minorHAnsi" w:hAnsiTheme="minorHAnsi" w:cstheme="minorHAnsi"/>
          <w:sz w:val="22"/>
          <w:szCs w:val="22"/>
          <w:lang w:val="cs-CZ"/>
        </w:rPr>
        <w:t xml:space="preserve">konzultant a strategický manažer společnosti </w:t>
      </w:r>
      <w:proofErr w:type="spellStart"/>
      <w:r w:rsidRPr="000108F0">
        <w:rPr>
          <w:rFonts w:asciiTheme="minorHAnsi" w:hAnsiTheme="minorHAnsi" w:cstheme="minorHAnsi"/>
          <w:sz w:val="22"/>
          <w:szCs w:val="22"/>
          <w:lang w:val="cs-CZ"/>
        </w:rPr>
        <w:t>Accenture</w:t>
      </w:r>
      <w:proofErr w:type="spellEnd"/>
      <w:r w:rsidRPr="000108F0">
        <w:rPr>
          <w:rFonts w:asciiTheme="minorHAnsi" w:hAnsiTheme="minorHAnsi" w:cstheme="minorHAnsi"/>
          <w:sz w:val="22"/>
          <w:szCs w:val="22"/>
          <w:lang w:val="cs-CZ"/>
        </w:rPr>
        <w:t xml:space="preserve"> v oblasti finančních služeb</w:t>
      </w:r>
    </w:p>
    <w:p w14:paraId="2B10E311" w14:textId="77777777" w:rsidR="007C5E50" w:rsidRPr="000108F0" w:rsidRDefault="007C5E50" w:rsidP="00EC700E">
      <w:pPr>
        <w:spacing w:after="0" w:line="240" w:lineRule="auto"/>
        <w:jc w:val="both"/>
        <w:rPr>
          <w:rFonts w:asciiTheme="minorHAnsi" w:hAnsiTheme="minorHAnsi" w:cstheme="minorHAnsi"/>
          <w:sz w:val="22"/>
          <w:szCs w:val="22"/>
          <w:lang w:val="cs-CZ"/>
        </w:rPr>
      </w:pPr>
    </w:p>
    <w:p w14:paraId="41E3C02B" w14:textId="77777777" w:rsidR="00D14F4A" w:rsidRPr="000108F0" w:rsidRDefault="00D14F4A" w:rsidP="00EC700E">
      <w:pPr>
        <w:spacing w:after="0" w:line="360" w:lineRule="auto"/>
        <w:jc w:val="both"/>
        <w:rPr>
          <w:rFonts w:asciiTheme="minorHAnsi" w:hAnsiTheme="minorHAnsi" w:cstheme="minorHAnsi"/>
          <w:sz w:val="22"/>
          <w:szCs w:val="22"/>
          <w:lang w:val="cs-CZ"/>
        </w:rPr>
      </w:pPr>
    </w:p>
    <w:p w14:paraId="4BC5756F" w14:textId="119B5189" w:rsidR="000108F0" w:rsidRPr="000108F0" w:rsidRDefault="000108F0" w:rsidP="000108F0">
      <w:pPr>
        <w:spacing w:after="0" w:line="360" w:lineRule="auto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0108F0">
        <w:rPr>
          <w:rFonts w:asciiTheme="minorHAnsi" w:hAnsiTheme="minorHAnsi" w:cstheme="minorHAnsi"/>
          <w:sz w:val="22"/>
          <w:szCs w:val="22"/>
          <w:lang w:val="cs-CZ"/>
        </w:rPr>
        <w:t>Ceny akcií, podnikových dluhopisů a rizikových aktiv rostly v posledních týdnech z několika důvodů. Tím prvním je nástup vakcinace a relativně stabilní dodávky vakcín. Tím druhým je pokračující politická podpora prostřednictvím finančních balíčků, která má potenciál v krátkodobém horizontu vyrovnat negativní ekonomické dopady</w:t>
      </w:r>
      <w:r w:rsidR="008B32FF">
        <w:rPr>
          <w:rFonts w:asciiTheme="minorHAnsi" w:hAnsiTheme="minorHAnsi" w:cstheme="minorHAnsi"/>
          <w:sz w:val="22"/>
          <w:szCs w:val="22"/>
          <w:lang w:val="cs-CZ"/>
        </w:rPr>
        <w:t>,</w:t>
      </w:r>
      <w:r w:rsidRPr="000108F0">
        <w:rPr>
          <w:rFonts w:asciiTheme="minorHAnsi" w:hAnsiTheme="minorHAnsi" w:cstheme="minorHAnsi"/>
          <w:sz w:val="22"/>
          <w:szCs w:val="22"/>
          <w:lang w:val="cs-CZ"/>
        </w:rPr>
        <w:t xml:space="preserve"> a zároveň poskytnout most do budoucnosti. Třetím důvodem jsou pak stále nízké úrokové sazby centrálních bank. </w:t>
      </w:r>
    </w:p>
    <w:p w14:paraId="7136F25F" w14:textId="6F461AFD" w:rsidR="000108F0" w:rsidRPr="000108F0" w:rsidRDefault="000108F0" w:rsidP="000108F0">
      <w:pPr>
        <w:spacing w:after="0" w:line="360" w:lineRule="auto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0108F0">
        <w:rPr>
          <w:rFonts w:asciiTheme="minorHAnsi" w:hAnsiTheme="minorHAnsi" w:cstheme="minorHAnsi"/>
          <w:sz w:val="22"/>
          <w:szCs w:val="22"/>
          <w:lang w:val="cs-CZ"/>
        </w:rPr>
        <w:t>Na druhou stranu, vlivem těchto opatření dochází u některých akcií k jejich nadhodnocení na základě uměle vytvořeného pozitivního ekonomického výhledu. To, že je akcie nadhodnocena, lze poznat několika způsoby; tím nejrozšířenějším je porovnání tržní ceny a výnosů dané společnosti za posledních 12 měsíců. Čím vyšš</w:t>
      </w:r>
      <w:r w:rsidR="0054789F">
        <w:rPr>
          <w:rFonts w:asciiTheme="minorHAnsi" w:hAnsiTheme="minorHAnsi" w:cstheme="minorHAnsi"/>
          <w:sz w:val="22"/>
          <w:szCs w:val="22"/>
          <w:lang w:val="cs-CZ"/>
        </w:rPr>
        <w:t>í</w:t>
      </w:r>
      <w:r w:rsidRPr="000108F0">
        <w:rPr>
          <w:rFonts w:asciiTheme="minorHAnsi" w:hAnsiTheme="minorHAnsi" w:cstheme="minorHAnsi"/>
          <w:sz w:val="22"/>
          <w:szCs w:val="22"/>
          <w:lang w:val="cs-CZ"/>
        </w:rPr>
        <w:t xml:space="preserve"> je tento poměr, tím v</w:t>
      </w:r>
      <w:r w:rsidR="0054789F">
        <w:rPr>
          <w:rFonts w:asciiTheme="minorHAnsi" w:hAnsiTheme="minorHAnsi" w:cstheme="minorHAnsi"/>
          <w:sz w:val="22"/>
          <w:szCs w:val="22"/>
          <w:lang w:val="cs-CZ"/>
        </w:rPr>
        <w:t>í</w:t>
      </w:r>
      <w:r w:rsidRPr="000108F0">
        <w:rPr>
          <w:rFonts w:asciiTheme="minorHAnsi" w:hAnsiTheme="minorHAnsi" w:cstheme="minorHAnsi"/>
          <w:sz w:val="22"/>
          <w:szCs w:val="22"/>
          <w:lang w:val="cs-CZ"/>
        </w:rPr>
        <w:t xml:space="preserve">ce je společnost nadhodnocena. Například u společnosti Tesla byla tato hodnota za rok 2020 1239,89. U diskutované společnosti </w:t>
      </w:r>
      <w:proofErr w:type="spellStart"/>
      <w:r w:rsidRPr="000108F0">
        <w:rPr>
          <w:rFonts w:asciiTheme="minorHAnsi" w:hAnsiTheme="minorHAnsi" w:cstheme="minorHAnsi"/>
          <w:sz w:val="22"/>
          <w:szCs w:val="22"/>
          <w:lang w:val="cs-CZ"/>
        </w:rPr>
        <w:t>GameStop</w:t>
      </w:r>
      <w:proofErr w:type="spellEnd"/>
      <w:r w:rsidRPr="000108F0">
        <w:rPr>
          <w:rFonts w:asciiTheme="minorHAnsi" w:hAnsiTheme="minorHAnsi" w:cstheme="minorHAnsi"/>
          <w:sz w:val="22"/>
          <w:szCs w:val="22"/>
          <w:lang w:val="cs-CZ"/>
        </w:rPr>
        <w:t xml:space="preserve"> s ohledem na spekulace je tato hodnota 1477,27. Na druhou stranu u společnosti Apple je tato hodnota za rok 2020 40,23. Průměrná hodnota se však pohybuje mezi 13-25 u běžných akcií. U akcií veřejně známých společností je pak očekávaná hodnota 30-50. Loňský rok ve stejnou dobu byl v indexu top 500 společností (S&amp;P 500) tento atribut roven hodnotě 25,77. Letos již činí 40,93. </w:t>
      </w:r>
    </w:p>
    <w:p w14:paraId="63FD188D" w14:textId="4FEF9E79" w:rsidR="000108F0" w:rsidRPr="000108F0" w:rsidRDefault="000108F0" w:rsidP="000108F0">
      <w:pPr>
        <w:spacing w:after="0" w:line="360" w:lineRule="auto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0108F0">
        <w:rPr>
          <w:rFonts w:asciiTheme="minorHAnsi" w:hAnsiTheme="minorHAnsi" w:cstheme="minorHAnsi"/>
          <w:sz w:val="22"/>
          <w:szCs w:val="22"/>
          <w:lang w:val="cs-CZ"/>
        </w:rPr>
        <w:t>Lze tedy konstatovat, že trhy jsou i navzdory ekonomickému vývoji více nadhodnoceny než v předchozím roce. Stojí za tím především tzv. „</w:t>
      </w:r>
      <w:r w:rsidR="008B32FF">
        <w:rPr>
          <w:rFonts w:asciiTheme="minorHAnsi" w:hAnsiTheme="minorHAnsi" w:cstheme="minorHAnsi"/>
          <w:sz w:val="22"/>
          <w:szCs w:val="22"/>
          <w:lang w:val="cs-CZ"/>
        </w:rPr>
        <w:t>n</w:t>
      </w:r>
      <w:r w:rsidRPr="000108F0">
        <w:rPr>
          <w:rFonts w:asciiTheme="minorHAnsi" w:hAnsiTheme="minorHAnsi" w:cstheme="minorHAnsi"/>
          <w:sz w:val="22"/>
          <w:szCs w:val="22"/>
          <w:lang w:val="cs-CZ"/>
        </w:rPr>
        <w:t>ový norm</w:t>
      </w:r>
      <w:r w:rsidR="0054789F">
        <w:rPr>
          <w:rFonts w:asciiTheme="minorHAnsi" w:hAnsiTheme="minorHAnsi" w:cstheme="minorHAnsi"/>
          <w:sz w:val="22"/>
          <w:szCs w:val="22"/>
          <w:lang w:val="cs-CZ"/>
        </w:rPr>
        <w:t>á</w:t>
      </w:r>
      <w:r w:rsidRPr="000108F0">
        <w:rPr>
          <w:rFonts w:asciiTheme="minorHAnsi" w:hAnsiTheme="minorHAnsi" w:cstheme="minorHAnsi"/>
          <w:sz w:val="22"/>
          <w:szCs w:val="22"/>
          <w:lang w:val="cs-CZ"/>
        </w:rPr>
        <w:t xml:space="preserve">l,” tj. situace, kde žádný z investorů není schopen efektivně předvídat ekonomický vývoj za daných podmínek. Navíc za nadhodnocenými akciemi stojí i spekulace typu </w:t>
      </w:r>
      <w:proofErr w:type="spellStart"/>
      <w:r w:rsidRPr="000108F0">
        <w:rPr>
          <w:rFonts w:asciiTheme="minorHAnsi" w:hAnsiTheme="minorHAnsi" w:cstheme="minorHAnsi"/>
          <w:sz w:val="22"/>
          <w:szCs w:val="22"/>
          <w:lang w:val="cs-CZ"/>
        </w:rPr>
        <w:t>GameStop</w:t>
      </w:r>
      <w:proofErr w:type="spellEnd"/>
      <w:r w:rsidRPr="000108F0">
        <w:rPr>
          <w:rFonts w:asciiTheme="minorHAnsi" w:hAnsiTheme="minorHAnsi" w:cstheme="minorHAnsi"/>
          <w:sz w:val="22"/>
          <w:szCs w:val="22"/>
          <w:lang w:val="cs-CZ"/>
        </w:rPr>
        <w:t xml:space="preserve">. </w:t>
      </w:r>
    </w:p>
    <w:p w14:paraId="7FA3C4BE" w14:textId="6C27D974" w:rsidR="000108F0" w:rsidRPr="000108F0" w:rsidRDefault="000108F0" w:rsidP="000108F0">
      <w:pPr>
        <w:spacing w:after="0" w:line="360" w:lineRule="auto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0108F0">
        <w:rPr>
          <w:rFonts w:asciiTheme="minorHAnsi" w:hAnsiTheme="minorHAnsi" w:cstheme="minorHAnsi"/>
          <w:sz w:val="22"/>
          <w:szCs w:val="22"/>
          <w:lang w:val="cs-CZ"/>
        </w:rPr>
        <w:t>Tato situace, ve které ceny akcií neodpovídají výkonům společnost</w:t>
      </w:r>
      <w:r w:rsidR="0054789F">
        <w:rPr>
          <w:rFonts w:asciiTheme="minorHAnsi" w:hAnsiTheme="minorHAnsi" w:cstheme="minorHAnsi"/>
          <w:sz w:val="22"/>
          <w:szCs w:val="22"/>
          <w:lang w:val="cs-CZ"/>
        </w:rPr>
        <w:t>i</w:t>
      </w:r>
      <w:r w:rsidR="008B32FF">
        <w:rPr>
          <w:rFonts w:asciiTheme="minorHAnsi" w:hAnsiTheme="minorHAnsi" w:cstheme="minorHAnsi"/>
          <w:sz w:val="22"/>
          <w:szCs w:val="22"/>
          <w:lang w:val="cs-CZ"/>
        </w:rPr>
        <w:t>,</w:t>
      </w:r>
      <w:r w:rsidRPr="000108F0">
        <w:rPr>
          <w:rFonts w:asciiTheme="minorHAnsi" w:hAnsiTheme="minorHAnsi" w:cstheme="minorHAnsi"/>
          <w:sz w:val="22"/>
          <w:szCs w:val="22"/>
          <w:lang w:val="cs-CZ"/>
        </w:rPr>
        <w:t xml:space="preserve"> a zároveň velké investiční fondy uzavírají své pozice kvůli spekulacím, vyvolává spektrum možné korekce trhu. Navíc, pokud by došlo k ukončení </w:t>
      </w:r>
      <w:proofErr w:type="spellStart"/>
      <w:r w:rsidR="008B32FF">
        <w:rPr>
          <w:rFonts w:asciiTheme="minorHAnsi" w:hAnsiTheme="minorHAnsi" w:cstheme="minorHAnsi"/>
          <w:sz w:val="22"/>
          <w:szCs w:val="22"/>
          <w:lang w:val="cs-CZ"/>
        </w:rPr>
        <w:t>covid</w:t>
      </w:r>
      <w:proofErr w:type="spellEnd"/>
      <w:r w:rsidRPr="000108F0">
        <w:rPr>
          <w:rFonts w:asciiTheme="minorHAnsi" w:hAnsiTheme="minorHAnsi" w:cstheme="minorHAnsi"/>
          <w:sz w:val="22"/>
          <w:szCs w:val="22"/>
          <w:lang w:val="cs-CZ"/>
        </w:rPr>
        <w:t xml:space="preserve"> podpůrných programů, snižování úrokových sazeb či by se prokázala nižší funkčnost vakcinace, případně by se objevily nové mutace viru, můžeme očekávat silnou tržní korekci.</w:t>
      </w:r>
    </w:p>
    <w:p w14:paraId="48BF9FF7" w14:textId="77777777" w:rsidR="000108F0" w:rsidRPr="000108F0" w:rsidRDefault="000108F0" w:rsidP="000108F0">
      <w:pPr>
        <w:spacing w:after="0" w:line="360" w:lineRule="auto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0108F0">
        <w:rPr>
          <w:rFonts w:asciiTheme="minorHAnsi" w:hAnsiTheme="minorHAnsi" w:cstheme="minorHAnsi"/>
          <w:sz w:val="22"/>
          <w:szCs w:val="22"/>
          <w:lang w:val="cs-CZ"/>
        </w:rPr>
        <w:lastRenderedPageBreak/>
        <w:t>Pro menší investory je proto vhodné držet svou pozici u vybraných titulů s dlouhodobým potenciálem růstu a pravidelně měsíčně přikupovat nové akcie. Tím dojde k rozprostření potenciálních negativních dopadů, jelikož se bude nakupovat v období nízkých i vysokých cen.</w:t>
      </w:r>
    </w:p>
    <w:p w14:paraId="269F5F81" w14:textId="38DB2FCC" w:rsidR="006E50DF" w:rsidRPr="000108F0" w:rsidRDefault="006E50DF" w:rsidP="000108F0">
      <w:pPr>
        <w:spacing w:after="0" w:line="360" w:lineRule="auto"/>
        <w:jc w:val="both"/>
        <w:rPr>
          <w:rFonts w:asciiTheme="minorHAnsi" w:hAnsiTheme="minorHAnsi" w:cstheme="minorHAnsi"/>
          <w:sz w:val="22"/>
          <w:szCs w:val="22"/>
          <w:lang w:val="cs-CZ"/>
        </w:rPr>
      </w:pPr>
    </w:p>
    <w:sectPr w:rsidR="006E50DF" w:rsidRPr="000108F0" w:rsidSect="001834FA">
      <w:headerReference w:type="default" r:id="rId6"/>
      <w:pgSz w:w="11906" w:h="16838"/>
      <w:pgMar w:top="21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BD7AF8" w14:textId="77777777" w:rsidR="005B3388" w:rsidRDefault="005B3388" w:rsidP="002D05F9">
      <w:pPr>
        <w:spacing w:after="0" w:line="240" w:lineRule="auto"/>
      </w:pPr>
      <w:r>
        <w:separator/>
      </w:r>
    </w:p>
  </w:endnote>
  <w:endnote w:type="continuationSeparator" w:id="0">
    <w:p w14:paraId="7165C8DE" w14:textId="77777777" w:rsidR="005B3388" w:rsidRDefault="005B3388" w:rsidP="002D0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E15FF2" w14:textId="77777777" w:rsidR="005B3388" w:rsidRDefault="005B3388" w:rsidP="002D05F9">
      <w:pPr>
        <w:spacing w:after="0" w:line="240" w:lineRule="auto"/>
      </w:pPr>
      <w:r>
        <w:separator/>
      </w:r>
    </w:p>
  </w:footnote>
  <w:footnote w:type="continuationSeparator" w:id="0">
    <w:p w14:paraId="7D96BB95" w14:textId="77777777" w:rsidR="005B3388" w:rsidRDefault="005B3388" w:rsidP="002D05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1DB1BB" w14:textId="77777777" w:rsidR="001834FA" w:rsidRDefault="001834FA">
    <w:pPr>
      <w:pStyle w:val="Zhlav"/>
    </w:pPr>
    <w:r>
      <w:rPr>
        <w:rFonts w:ascii="Times New Roman" w:hAnsi="Times New Roman"/>
        <w:noProof/>
        <w:lang w:val="cs-CZ" w:eastAsia="cs-CZ"/>
      </w:rPr>
      <w:drawing>
        <wp:inline distT="0" distB="0" distL="0" distR="0" wp14:anchorId="14EA18EE" wp14:editId="73CB2BF6">
          <wp:extent cx="1562100" cy="41910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6111" cy="4201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FE3"/>
    <w:rsid w:val="000108F0"/>
    <w:rsid w:val="0001645D"/>
    <w:rsid w:val="00017F1E"/>
    <w:rsid w:val="00043481"/>
    <w:rsid w:val="00053F11"/>
    <w:rsid w:val="0006143C"/>
    <w:rsid w:val="0008461C"/>
    <w:rsid w:val="000A5157"/>
    <w:rsid w:val="000C267F"/>
    <w:rsid w:val="000C5B0B"/>
    <w:rsid w:val="001346B0"/>
    <w:rsid w:val="00134890"/>
    <w:rsid w:val="00171BAB"/>
    <w:rsid w:val="001834FA"/>
    <w:rsid w:val="001A4E40"/>
    <w:rsid w:val="001C2446"/>
    <w:rsid w:val="001C43EE"/>
    <w:rsid w:val="001F0E7E"/>
    <w:rsid w:val="0021779A"/>
    <w:rsid w:val="00231C42"/>
    <w:rsid w:val="002A1DBA"/>
    <w:rsid w:val="002A3578"/>
    <w:rsid w:val="002A3FFB"/>
    <w:rsid w:val="002C45CD"/>
    <w:rsid w:val="002D05F9"/>
    <w:rsid w:val="002D1406"/>
    <w:rsid w:val="002F039E"/>
    <w:rsid w:val="00306B9E"/>
    <w:rsid w:val="0032540F"/>
    <w:rsid w:val="00331C10"/>
    <w:rsid w:val="003508AB"/>
    <w:rsid w:val="00353D55"/>
    <w:rsid w:val="0037668C"/>
    <w:rsid w:val="003A25D3"/>
    <w:rsid w:val="003B7ADB"/>
    <w:rsid w:val="003C20D6"/>
    <w:rsid w:val="003C3368"/>
    <w:rsid w:val="003C72DA"/>
    <w:rsid w:val="003D5EEF"/>
    <w:rsid w:val="003F6732"/>
    <w:rsid w:val="0041348D"/>
    <w:rsid w:val="004224B0"/>
    <w:rsid w:val="004516DA"/>
    <w:rsid w:val="00467A33"/>
    <w:rsid w:val="0047334A"/>
    <w:rsid w:val="004A1C40"/>
    <w:rsid w:val="004F35CE"/>
    <w:rsid w:val="005116BB"/>
    <w:rsid w:val="0054789F"/>
    <w:rsid w:val="005625EB"/>
    <w:rsid w:val="005B3388"/>
    <w:rsid w:val="005E4665"/>
    <w:rsid w:val="005F02EF"/>
    <w:rsid w:val="005F04B3"/>
    <w:rsid w:val="00614FE3"/>
    <w:rsid w:val="006D229B"/>
    <w:rsid w:val="006E50DF"/>
    <w:rsid w:val="006F01B7"/>
    <w:rsid w:val="00776A6A"/>
    <w:rsid w:val="007851A7"/>
    <w:rsid w:val="007B15D6"/>
    <w:rsid w:val="007C5E50"/>
    <w:rsid w:val="00810FEB"/>
    <w:rsid w:val="00817320"/>
    <w:rsid w:val="00822BD2"/>
    <w:rsid w:val="008578DA"/>
    <w:rsid w:val="00861A07"/>
    <w:rsid w:val="00863D27"/>
    <w:rsid w:val="0089036F"/>
    <w:rsid w:val="008B32FF"/>
    <w:rsid w:val="008B3855"/>
    <w:rsid w:val="008B472D"/>
    <w:rsid w:val="008D3401"/>
    <w:rsid w:val="008E70F7"/>
    <w:rsid w:val="009014F0"/>
    <w:rsid w:val="009121BE"/>
    <w:rsid w:val="00934C1C"/>
    <w:rsid w:val="009424AD"/>
    <w:rsid w:val="0095288D"/>
    <w:rsid w:val="00954285"/>
    <w:rsid w:val="009662EF"/>
    <w:rsid w:val="009837AE"/>
    <w:rsid w:val="009C10A9"/>
    <w:rsid w:val="009E7621"/>
    <w:rsid w:val="009F047A"/>
    <w:rsid w:val="00A040FB"/>
    <w:rsid w:val="00A214A7"/>
    <w:rsid w:val="00A24A5D"/>
    <w:rsid w:val="00A36769"/>
    <w:rsid w:val="00A54B97"/>
    <w:rsid w:val="00A64902"/>
    <w:rsid w:val="00AC2EC1"/>
    <w:rsid w:val="00AF629D"/>
    <w:rsid w:val="00B77D0F"/>
    <w:rsid w:val="00BB51A1"/>
    <w:rsid w:val="00BD2A62"/>
    <w:rsid w:val="00BD6672"/>
    <w:rsid w:val="00BE4E97"/>
    <w:rsid w:val="00BE5289"/>
    <w:rsid w:val="00C041C9"/>
    <w:rsid w:val="00C06238"/>
    <w:rsid w:val="00C11484"/>
    <w:rsid w:val="00C4095E"/>
    <w:rsid w:val="00C510F1"/>
    <w:rsid w:val="00C52385"/>
    <w:rsid w:val="00C608C8"/>
    <w:rsid w:val="00C758D5"/>
    <w:rsid w:val="00C943D3"/>
    <w:rsid w:val="00CB0AAE"/>
    <w:rsid w:val="00CD4BA9"/>
    <w:rsid w:val="00CD7A62"/>
    <w:rsid w:val="00CE5631"/>
    <w:rsid w:val="00CF6191"/>
    <w:rsid w:val="00D14F4A"/>
    <w:rsid w:val="00D42240"/>
    <w:rsid w:val="00D5374F"/>
    <w:rsid w:val="00D97CC6"/>
    <w:rsid w:val="00DC5FE5"/>
    <w:rsid w:val="00DF474A"/>
    <w:rsid w:val="00E155AC"/>
    <w:rsid w:val="00E4447F"/>
    <w:rsid w:val="00E550FD"/>
    <w:rsid w:val="00E82E2C"/>
    <w:rsid w:val="00E85B2D"/>
    <w:rsid w:val="00EA1504"/>
    <w:rsid w:val="00EB2980"/>
    <w:rsid w:val="00EC700E"/>
    <w:rsid w:val="00EE50AD"/>
    <w:rsid w:val="00F1644F"/>
    <w:rsid w:val="00F515FE"/>
    <w:rsid w:val="00F77DF4"/>
    <w:rsid w:val="00F84480"/>
    <w:rsid w:val="00FB3D73"/>
    <w:rsid w:val="00FD2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68922A"/>
  <w15:chartTrackingRefBased/>
  <w15:docId w15:val="{437EB66B-3DBE-49C3-AD7A-51737A452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99"/>
    <w:qFormat/>
    <w:rsid w:val="00614FE3"/>
    <w:pPr>
      <w:spacing w:after="240" w:line="240" w:lineRule="atLeast"/>
    </w:pPr>
    <w:rPr>
      <w:rFonts w:ascii="Georgia" w:hAnsi="Georgia"/>
      <w:sz w:val="20"/>
      <w:szCs w:val="20"/>
      <w:lang w:val="pl-P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lt-line-clampline">
    <w:name w:val="lt-line-clamp__line"/>
    <w:basedOn w:val="Standardnpsmoodstavce"/>
    <w:rsid w:val="00861A07"/>
  </w:style>
  <w:style w:type="character" w:styleId="Hypertextovodkaz">
    <w:name w:val="Hyperlink"/>
    <w:basedOn w:val="Standardnpsmoodstavce"/>
    <w:uiPriority w:val="99"/>
    <w:unhideWhenUsed/>
    <w:rsid w:val="00F84480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F84480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nhideWhenUsed/>
    <w:rsid w:val="001834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1834FA"/>
    <w:rPr>
      <w:rFonts w:ascii="Georgia" w:hAnsi="Georgia"/>
      <w:sz w:val="20"/>
      <w:szCs w:val="20"/>
      <w:lang w:val="pl-PL"/>
    </w:rPr>
  </w:style>
  <w:style w:type="paragraph" w:styleId="Zpat">
    <w:name w:val="footer"/>
    <w:basedOn w:val="Normln"/>
    <w:link w:val="ZpatChar"/>
    <w:unhideWhenUsed/>
    <w:rsid w:val="001834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834FA"/>
    <w:rPr>
      <w:rFonts w:ascii="Georgia" w:hAnsi="Georgia"/>
      <w:sz w:val="20"/>
      <w:szCs w:val="20"/>
      <w:lang w:val="pl-PL"/>
    </w:rPr>
  </w:style>
  <w:style w:type="paragraph" w:styleId="Zkladntext">
    <w:name w:val="Body Text"/>
    <w:basedOn w:val="Normln"/>
    <w:link w:val="ZkladntextChar"/>
    <w:semiHidden/>
    <w:rsid w:val="001834FA"/>
    <w:pPr>
      <w:spacing w:afterLines="80" w:after="80" w:line="300" w:lineRule="auto"/>
      <w:jc w:val="both"/>
    </w:pPr>
    <w:rPr>
      <w:rFonts w:ascii="Arial" w:eastAsia="Times New Roman" w:hAnsi="Arial" w:cs="Arial"/>
      <w:noProof/>
      <w:snapToGrid w:val="0"/>
      <w:lang w:val="sk-SK"/>
    </w:rPr>
  </w:style>
  <w:style w:type="character" w:customStyle="1" w:styleId="ZkladntextChar">
    <w:name w:val="Základní text Char"/>
    <w:basedOn w:val="Standardnpsmoodstavce"/>
    <w:link w:val="Zkladntext"/>
    <w:semiHidden/>
    <w:rsid w:val="001834FA"/>
    <w:rPr>
      <w:rFonts w:ascii="Arial" w:eastAsia="Times New Roman" w:hAnsi="Arial" w:cs="Arial"/>
      <w:noProof/>
      <w:snapToGrid w:val="0"/>
      <w:sz w:val="20"/>
      <w:szCs w:val="20"/>
      <w:lang w:val="sk-SK"/>
    </w:rPr>
  </w:style>
  <w:style w:type="paragraph" w:styleId="Textkomente">
    <w:name w:val="annotation text"/>
    <w:basedOn w:val="Normln"/>
    <w:link w:val="TextkomenteChar"/>
    <w:uiPriority w:val="99"/>
    <w:rsid w:val="001834FA"/>
    <w:pPr>
      <w:spacing w:afterLines="80" w:after="80" w:line="300" w:lineRule="auto"/>
      <w:jc w:val="both"/>
    </w:pPr>
    <w:rPr>
      <w:rFonts w:ascii="Arial" w:eastAsia="Times New Roman" w:hAnsi="Arial" w:cs="Arial"/>
      <w:noProof/>
      <w:snapToGrid w:val="0"/>
      <w:lang w:val="cs-CZ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834FA"/>
    <w:rPr>
      <w:rFonts w:ascii="Arial" w:eastAsia="Times New Roman" w:hAnsi="Arial" w:cs="Arial"/>
      <w:noProof/>
      <w:snapToGrid w:val="0"/>
      <w:sz w:val="20"/>
      <w:szCs w:val="20"/>
    </w:rPr>
  </w:style>
  <w:style w:type="table" w:styleId="Mkatabulky">
    <w:name w:val="Table Grid"/>
    <w:basedOn w:val="Normlntabulka"/>
    <w:uiPriority w:val="39"/>
    <w:rsid w:val="00D14F4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134890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34890"/>
    <w:pPr>
      <w:spacing w:afterLines="0" w:after="240" w:line="240" w:lineRule="auto"/>
      <w:jc w:val="left"/>
    </w:pPr>
    <w:rPr>
      <w:rFonts w:ascii="Georgia" w:eastAsiaTheme="minorHAnsi" w:hAnsi="Georgia" w:cstheme="minorBidi"/>
      <w:b/>
      <w:bCs/>
      <w:noProof w:val="0"/>
      <w:snapToGrid/>
      <w:lang w:val="pl-PL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34890"/>
    <w:rPr>
      <w:rFonts w:ascii="Georgia" w:eastAsia="Times New Roman" w:hAnsi="Georgia" w:cs="Arial"/>
      <w:b/>
      <w:bCs/>
      <w:noProof/>
      <w:snapToGrid/>
      <w:sz w:val="20"/>
      <w:szCs w:val="20"/>
      <w:lang w:val="pl-P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F0E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0E7E"/>
    <w:rPr>
      <w:rFonts w:ascii="Segoe UI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263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2101</Characters>
  <Application>Microsoft Office Word</Application>
  <DocSecurity>0</DocSecurity>
  <Lines>17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PricewaterhouseCoopers</Company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ASPEN.PR</dc:creator>
  <cp:keywords/>
  <dc:description/>
  <cp:lastModifiedBy>Šárka</cp:lastModifiedBy>
  <cp:revision>2</cp:revision>
  <cp:lastPrinted>2021-02-05T13:32:00Z</cp:lastPrinted>
  <dcterms:created xsi:type="dcterms:W3CDTF">2021-02-08T10:23:00Z</dcterms:created>
  <dcterms:modified xsi:type="dcterms:W3CDTF">2021-02-08T10:23:00Z</dcterms:modified>
</cp:coreProperties>
</file>