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7C52D" w14:textId="5DE2A45F" w:rsidR="00462092" w:rsidRPr="00462092" w:rsidRDefault="007D6AAC" w:rsidP="00462092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Firmy často neumějí využívat svá data jako </w:t>
      </w:r>
      <w:r w:rsidRPr="007D6AAC">
        <w:rPr>
          <w:rFonts w:ascii="Calibri" w:hAnsi="Calibri" w:cs="Calibri"/>
          <w:b/>
          <w:sz w:val="32"/>
          <w:szCs w:val="32"/>
        </w:rPr>
        <w:t>relevantní podklad pro rozhodování</w:t>
      </w:r>
    </w:p>
    <w:p w14:paraId="592E5E7A" w14:textId="7CDE6A44" w:rsidR="007D6AAC" w:rsidRPr="007D6AAC" w:rsidRDefault="00571D6A" w:rsidP="007D6AAC">
      <w:pPr>
        <w:tabs>
          <w:tab w:val="left" w:pos="750"/>
          <w:tab w:val="left" w:pos="6180"/>
        </w:tabs>
        <w:rPr>
          <w:rFonts w:ascii="Calibri" w:hAnsi="Calibri" w:cs="Calibri"/>
          <w:b/>
          <w:lang w:eastAsia="cs-CZ"/>
        </w:rPr>
      </w:pPr>
      <w:r w:rsidRPr="00556CCA">
        <w:rPr>
          <w:rFonts w:ascii="Calibri" w:hAnsi="Calibri" w:cs="Calibri"/>
          <w:b/>
          <w:lang w:eastAsia="cs-CZ"/>
        </w:rPr>
        <w:t>Praha</w:t>
      </w:r>
      <w:r w:rsidR="00A92E8C">
        <w:rPr>
          <w:rFonts w:ascii="Calibri" w:hAnsi="Calibri" w:cs="Calibri"/>
          <w:b/>
          <w:lang w:eastAsia="cs-CZ"/>
        </w:rPr>
        <w:t>,</w:t>
      </w:r>
      <w:r w:rsidRPr="00556CCA">
        <w:rPr>
          <w:rFonts w:ascii="Calibri" w:hAnsi="Calibri" w:cs="Calibri"/>
          <w:b/>
          <w:lang w:eastAsia="cs-CZ"/>
        </w:rPr>
        <w:t xml:space="preserve"> </w:t>
      </w:r>
      <w:r w:rsidR="00E77553">
        <w:rPr>
          <w:rFonts w:ascii="Calibri" w:hAnsi="Calibri" w:cs="Calibri"/>
          <w:b/>
          <w:lang w:eastAsia="cs-CZ"/>
        </w:rPr>
        <w:t>9</w:t>
      </w:r>
      <w:r w:rsidR="006A52A8">
        <w:rPr>
          <w:rFonts w:ascii="Calibri" w:hAnsi="Calibri" w:cs="Calibri"/>
          <w:b/>
          <w:lang w:eastAsia="cs-CZ"/>
        </w:rPr>
        <w:t xml:space="preserve">. </w:t>
      </w:r>
      <w:r w:rsidR="007D6AAC">
        <w:rPr>
          <w:rFonts w:ascii="Calibri" w:hAnsi="Calibri" w:cs="Calibri"/>
          <w:b/>
          <w:lang w:eastAsia="cs-CZ"/>
        </w:rPr>
        <w:t>dubna</w:t>
      </w:r>
      <w:r w:rsidR="006A52A8">
        <w:rPr>
          <w:rFonts w:ascii="Calibri" w:hAnsi="Calibri" w:cs="Calibri"/>
          <w:b/>
          <w:lang w:eastAsia="cs-CZ"/>
        </w:rPr>
        <w:t xml:space="preserve"> 20</w:t>
      </w:r>
      <w:r w:rsidR="007D6AAC">
        <w:rPr>
          <w:rFonts w:ascii="Calibri" w:hAnsi="Calibri" w:cs="Calibri"/>
          <w:b/>
          <w:lang w:eastAsia="cs-CZ"/>
        </w:rPr>
        <w:t>21</w:t>
      </w:r>
      <w:r w:rsidR="00587037" w:rsidRPr="00556CCA">
        <w:rPr>
          <w:rFonts w:ascii="Calibri" w:hAnsi="Calibri" w:cs="Calibri"/>
          <w:b/>
          <w:lang w:eastAsia="cs-CZ"/>
        </w:rPr>
        <w:t xml:space="preserve"> </w:t>
      </w:r>
      <w:r w:rsidR="00873578" w:rsidRPr="00556CCA">
        <w:rPr>
          <w:rFonts w:ascii="Calibri" w:hAnsi="Calibri" w:cs="Calibri"/>
          <w:b/>
          <w:lang w:eastAsia="cs-CZ"/>
        </w:rPr>
        <w:t>–</w:t>
      </w:r>
      <w:r w:rsidR="00DD2838" w:rsidRPr="00556CCA">
        <w:rPr>
          <w:rFonts w:ascii="Calibri" w:hAnsi="Calibri" w:cs="Calibri"/>
          <w:lang w:eastAsia="cs-CZ"/>
        </w:rPr>
        <w:t xml:space="preserve"> </w:t>
      </w:r>
      <w:r w:rsidR="007D6AAC" w:rsidRPr="007D6AAC">
        <w:rPr>
          <w:rFonts w:ascii="Calibri" w:hAnsi="Calibri" w:cs="Calibri"/>
          <w:b/>
          <w:bCs/>
          <w:lang w:eastAsia="cs-CZ"/>
        </w:rPr>
        <w:t>Kvalitní analýza dat se stává ve stále nevyzpytatelnějším ekonomickém prostředí jedním z nejdůležitějších podkladů pro řízení firem.</w:t>
      </w:r>
      <w:r w:rsidR="007D6AAC">
        <w:rPr>
          <w:rFonts w:ascii="Calibri" w:hAnsi="Calibri" w:cs="Calibri"/>
          <w:lang w:eastAsia="cs-CZ"/>
        </w:rPr>
        <w:t xml:space="preserve"> </w:t>
      </w:r>
      <w:r w:rsidR="007D6AAC" w:rsidRPr="007D6AAC">
        <w:rPr>
          <w:rFonts w:ascii="Calibri" w:hAnsi="Calibri" w:cs="Calibri"/>
          <w:b/>
          <w:lang w:eastAsia="cs-CZ"/>
        </w:rPr>
        <w:t xml:space="preserve">Konference </w:t>
      </w:r>
      <w:proofErr w:type="spellStart"/>
      <w:r w:rsidR="007D6AAC" w:rsidRPr="007D6AAC">
        <w:rPr>
          <w:rFonts w:ascii="Calibri" w:hAnsi="Calibri" w:cs="Calibri"/>
          <w:b/>
          <w:lang w:eastAsia="cs-CZ"/>
        </w:rPr>
        <w:t>Power</w:t>
      </w:r>
      <w:proofErr w:type="spellEnd"/>
      <w:r w:rsidR="007D6AAC" w:rsidRPr="007D6AAC">
        <w:rPr>
          <w:rFonts w:ascii="Calibri" w:hAnsi="Calibri" w:cs="Calibri"/>
          <w:b/>
          <w:lang w:eastAsia="cs-CZ"/>
        </w:rPr>
        <w:t xml:space="preserve"> BI </w:t>
      </w:r>
      <w:proofErr w:type="spellStart"/>
      <w:r w:rsidR="007D6AAC" w:rsidRPr="007D6AAC">
        <w:rPr>
          <w:rFonts w:ascii="Calibri" w:hAnsi="Calibri" w:cs="Calibri"/>
          <w:b/>
          <w:lang w:eastAsia="cs-CZ"/>
        </w:rPr>
        <w:t>Day</w:t>
      </w:r>
      <w:proofErr w:type="spellEnd"/>
      <w:r w:rsidR="007D6AAC" w:rsidRPr="007D6AAC">
        <w:rPr>
          <w:rFonts w:ascii="Calibri" w:hAnsi="Calibri" w:cs="Calibri"/>
          <w:b/>
          <w:lang w:eastAsia="cs-CZ"/>
        </w:rPr>
        <w:t xml:space="preserve"> nabídne ucelený informační servis, který pomůže účelně využívat firemní data jako relevantní podklad pro rozhodování a vytvářet atraktivní reporty.  </w:t>
      </w:r>
    </w:p>
    <w:p w14:paraId="41E77B82" w14:textId="498EAA44" w:rsidR="00333097" w:rsidRPr="00333097" w:rsidRDefault="00333097" w:rsidP="00333097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333097">
        <w:rPr>
          <w:rFonts w:ascii="Calibri" w:hAnsi="Calibri" w:cs="Calibri"/>
          <w:lang w:eastAsia="cs-CZ"/>
        </w:rPr>
        <w:t>Mnoho podniků se potýká s problémem, jak z datové analýzy získat maximální ekonomický užitek. Podle výzkumné společnosti Gartner jen asi pětina analytických výstupů přispívá ke tvorbě obchodní hodnoty.</w:t>
      </w:r>
      <w:r>
        <w:rPr>
          <w:rFonts w:ascii="Calibri" w:hAnsi="Calibri" w:cs="Calibri"/>
          <w:lang w:eastAsia="cs-CZ"/>
        </w:rPr>
        <w:t xml:space="preserve"> </w:t>
      </w:r>
      <w:r w:rsidRPr="00333097">
        <w:rPr>
          <w:rFonts w:ascii="Calibri" w:hAnsi="Calibri" w:cs="Calibri"/>
          <w:lang w:eastAsia="cs-CZ"/>
        </w:rPr>
        <w:t xml:space="preserve">Připravit analytický projekt nebo založit analytické oddělení je jedna věc, ale </w:t>
      </w:r>
      <w:r w:rsidR="007A7A3E">
        <w:rPr>
          <w:rFonts w:ascii="Calibri" w:hAnsi="Calibri" w:cs="Calibri"/>
          <w:lang w:eastAsia="cs-CZ"/>
        </w:rPr>
        <w:t>získávat opakovaně</w:t>
      </w:r>
      <w:r w:rsidRPr="00333097">
        <w:rPr>
          <w:rFonts w:ascii="Calibri" w:hAnsi="Calibri" w:cs="Calibri"/>
          <w:lang w:eastAsia="cs-CZ"/>
        </w:rPr>
        <w:t xml:space="preserve"> z analytických výstupů reálný užitek </w:t>
      </w:r>
      <w:r w:rsidR="007A7A3E">
        <w:rPr>
          <w:rFonts w:ascii="Calibri" w:hAnsi="Calibri" w:cs="Calibri"/>
          <w:lang w:eastAsia="cs-CZ"/>
        </w:rPr>
        <w:t xml:space="preserve">je </w:t>
      </w:r>
      <w:r w:rsidRPr="00333097">
        <w:rPr>
          <w:rFonts w:ascii="Calibri" w:hAnsi="Calibri" w:cs="Calibri"/>
          <w:lang w:eastAsia="cs-CZ"/>
        </w:rPr>
        <w:t xml:space="preserve">něco zcela jiného. </w:t>
      </w:r>
    </w:p>
    <w:p w14:paraId="008F8B4A" w14:textId="6084497E" w:rsidR="00333097" w:rsidRDefault="00333097" w:rsidP="007D6AAC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Jak tedy zvládnout vytěžení vlastních dat a kvalitní reporting snáze a efektivněji? Pro příznivce i odpůrce </w:t>
      </w:r>
      <w:r w:rsidRPr="00333097">
        <w:rPr>
          <w:rFonts w:ascii="Calibri" w:hAnsi="Calibri" w:cs="Calibri"/>
          <w:lang w:eastAsia="cs-CZ"/>
        </w:rPr>
        <w:t>dat</w:t>
      </w:r>
      <w:r w:rsidR="007A7A3E">
        <w:rPr>
          <w:rFonts w:ascii="Calibri" w:hAnsi="Calibri" w:cs="Calibri"/>
          <w:lang w:eastAsia="cs-CZ"/>
        </w:rPr>
        <w:t xml:space="preserve"> a jejich </w:t>
      </w:r>
      <w:r w:rsidRPr="00333097">
        <w:rPr>
          <w:rFonts w:ascii="Calibri" w:hAnsi="Calibri" w:cs="Calibri"/>
          <w:lang w:eastAsia="cs-CZ"/>
        </w:rPr>
        <w:t>analýz</w:t>
      </w:r>
      <w:r>
        <w:rPr>
          <w:rFonts w:ascii="Calibri" w:hAnsi="Calibri" w:cs="Calibri"/>
          <w:lang w:eastAsia="cs-CZ"/>
        </w:rPr>
        <w:t xml:space="preserve">, kteří přeci jenom chtějí zjistit více, připravila Počítačová škola GOPAS na </w:t>
      </w:r>
      <w:r w:rsidRPr="00490877">
        <w:rPr>
          <w:rFonts w:ascii="Calibri" w:hAnsi="Calibri" w:cs="Calibri"/>
          <w:lang w:eastAsia="cs-CZ"/>
        </w:rPr>
        <w:t>13. dubna</w:t>
      </w:r>
      <w:r w:rsidRPr="00333097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 xml:space="preserve">2021 </w:t>
      </w:r>
      <w:r w:rsidRPr="00333097">
        <w:rPr>
          <w:rFonts w:ascii="Calibri" w:hAnsi="Calibri" w:cs="Calibri"/>
          <w:lang w:eastAsia="cs-CZ"/>
        </w:rPr>
        <w:t xml:space="preserve">konferenci </w:t>
      </w:r>
      <w:hyperlink r:id="rId8" w:tgtFrame="_blank" w:history="1">
        <w:proofErr w:type="spellStart"/>
        <w:r w:rsidRPr="00333097">
          <w:rPr>
            <w:rStyle w:val="Hypertextovodkaz"/>
            <w:rFonts w:ascii="Calibri" w:hAnsi="Calibri" w:cs="Calibri"/>
            <w:lang w:eastAsia="cs-CZ"/>
          </w:rPr>
          <w:t>Power</w:t>
        </w:r>
        <w:proofErr w:type="spellEnd"/>
        <w:r w:rsidRPr="00333097">
          <w:rPr>
            <w:rStyle w:val="Hypertextovodkaz"/>
            <w:rFonts w:ascii="Calibri" w:hAnsi="Calibri" w:cs="Calibri"/>
            <w:lang w:eastAsia="cs-CZ"/>
          </w:rPr>
          <w:t xml:space="preserve"> BI </w:t>
        </w:r>
        <w:proofErr w:type="spellStart"/>
        <w:r w:rsidRPr="00333097">
          <w:rPr>
            <w:rStyle w:val="Hypertextovodkaz"/>
            <w:rFonts w:ascii="Calibri" w:hAnsi="Calibri" w:cs="Calibri"/>
            <w:lang w:eastAsia="cs-CZ"/>
          </w:rPr>
          <w:t>Day</w:t>
        </w:r>
        <w:proofErr w:type="spellEnd"/>
        <w:r w:rsidRPr="00333097">
          <w:rPr>
            <w:rStyle w:val="Hypertextovodkaz"/>
            <w:rFonts w:ascii="Calibri" w:hAnsi="Calibri" w:cs="Calibri"/>
            <w:lang w:eastAsia="cs-CZ"/>
          </w:rPr>
          <w:t xml:space="preserve"> 2021 ONLINE</w:t>
        </w:r>
      </w:hyperlink>
      <w:r>
        <w:rPr>
          <w:rFonts w:ascii="Calibri" w:hAnsi="Calibri" w:cs="Calibri"/>
          <w:lang w:eastAsia="cs-CZ"/>
        </w:rPr>
        <w:t xml:space="preserve">. </w:t>
      </w:r>
    </w:p>
    <w:p w14:paraId="3DA98EBB" w14:textId="52E95165" w:rsidR="007D6AAC" w:rsidRPr="007D6AAC" w:rsidRDefault="00333097" w:rsidP="007D6AAC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„</w:t>
      </w:r>
      <w:r w:rsidR="007D6AAC" w:rsidRPr="007D6AAC">
        <w:rPr>
          <w:rFonts w:ascii="Calibri" w:hAnsi="Calibri" w:cs="Calibri"/>
          <w:lang w:eastAsia="cs-CZ"/>
        </w:rPr>
        <w:t xml:space="preserve">Konference </w:t>
      </w:r>
      <w:proofErr w:type="spellStart"/>
      <w:r>
        <w:rPr>
          <w:rFonts w:ascii="Calibri" w:hAnsi="Calibri" w:cs="Calibri"/>
          <w:lang w:eastAsia="cs-CZ"/>
        </w:rPr>
        <w:t>Power</w:t>
      </w:r>
      <w:proofErr w:type="spellEnd"/>
      <w:r>
        <w:rPr>
          <w:rFonts w:ascii="Calibri" w:hAnsi="Calibri" w:cs="Calibri"/>
          <w:lang w:eastAsia="cs-CZ"/>
        </w:rPr>
        <w:t xml:space="preserve"> BI </w:t>
      </w:r>
      <w:proofErr w:type="spellStart"/>
      <w:r>
        <w:rPr>
          <w:rFonts w:ascii="Calibri" w:hAnsi="Calibri" w:cs="Calibri"/>
          <w:lang w:eastAsia="cs-CZ"/>
        </w:rPr>
        <w:t>Day</w:t>
      </w:r>
      <w:proofErr w:type="spellEnd"/>
      <w:r>
        <w:rPr>
          <w:rFonts w:ascii="Calibri" w:hAnsi="Calibri" w:cs="Calibri"/>
          <w:lang w:eastAsia="cs-CZ"/>
        </w:rPr>
        <w:t xml:space="preserve"> </w:t>
      </w:r>
      <w:r w:rsidR="007D6AAC" w:rsidRPr="007D6AAC">
        <w:rPr>
          <w:rFonts w:ascii="Calibri" w:hAnsi="Calibri" w:cs="Calibri"/>
          <w:lang w:eastAsia="cs-CZ"/>
        </w:rPr>
        <w:t xml:space="preserve">je určená pro ty, kteří potřebují vytvářet reporty a vizualizovat data, tedy především datové analytiky a finanční manažery. Dále pro projektové manažery, kteří jsou otevření novým způsobům řízení projektů, ale i pro všechny, kteří si chtějí sami vytvářet reporty. Chybět nebudou ani informace pro </w:t>
      </w:r>
      <w:proofErr w:type="spellStart"/>
      <w:r w:rsidR="007D6AAC" w:rsidRPr="007D6AAC">
        <w:rPr>
          <w:rFonts w:ascii="Calibri" w:hAnsi="Calibri" w:cs="Calibri"/>
          <w:lang w:eastAsia="cs-CZ"/>
        </w:rPr>
        <w:t>Power</w:t>
      </w:r>
      <w:proofErr w:type="spellEnd"/>
      <w:r w:rsidR="007D6AAC" w:rsidRPr="007D6AAC">
        <w:rPr>
          <w:rFonts w:ascii="Calibri" w:hAnsi="Calibri" w:cs="Calibri"/>
          <w:lang w:eastAsia="cs-CZ"/>
        </w:rPr>
        <w:t xml:space="preserve"> BI vývojáře a ty, kteří se chtějí certifikovat na </w:t>
      </w:r>
      <w:proofErr w:type="spellStart"/>
      <w:r w:rsidR="007D6AAC" w:rsidRPr="007D6AAC">
        <w:rPr>
          <w:rFonts w:ascii="Calibri" w:hAnsi="Calibri" w:cs="Calibri"/>
          <w:lang w:eastAsia="cs-CZ"/>
        </w:rPr>
        <w:t>Power</w:t>
      </w:r>
      <w:proofErr w:type="spellEnd"/>
      <w:r w:rsidR="007D6AAC" w:rsidRPr="007D6AAC">
        <w:rPr>
          <w:rFonts w:ascii="Calibri" w:hAnsi="Calibri" w:cs="Calibri"/>
          <w:lang w:eastAsia="cs-CZ"/>
        </w:rPr>
        <w:t xml:space="preserve"> BI</w:t>
      </w:r>
      <w:r>
        <w:rPr>
          <w:rFonts w:ascii="Calibri" w:hAnsi="Calibri" w:cs="Calibri"/>
          <w:lang w:eastAsia="cs-CZ"/>
        </w:rPr>
        <w:t>,“ vysvětluje Jan Dvořák</w:t>
      </w:r>
      <w:r w:rsidR="00282E2F">
        <w:rPr>
          <w:rFonts w:ascii="Calibri" w:hAnsi="Calibri" w:cs="Calibri"/>
          <w:lang w:eastAsia="cs-CZ"/>
        </w:rPr>
        <w:t>, výkonný ředitel Počítačové školy GOPAS.</w:t>
      </w:r>
    </w:p>
    <w:p w14:paraId="782DD3A5" w14:textId="30677261" w:rsidR="00333097" w:rsidRDefault="007D6AAC" w:rsidP="007D6AAC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D6AAC">
        <w:rPr>
          <w:rFonts w:ascii="Calibri" w:hAnsi="Calibri" w:cs="Calibri"/>
          <w:lang w:eastAsia="cs-CZ"/>
        </w:rPr>
        <w:t xml:space="preserve">Jak je u odborných konferencí </w:t>
      </w:r>
      <w:proofErr w:type="spellStart"/>
      <w:r w:rsidRPr="007D6AAC">
        <w:rPr>
          <w:rFonts w:ascii="Calibri" w:hAnsi="Calibri" w:cs="Calibri"/>
          <w:lang w:eastAsia="cs-CZ"/>
        </w:rPr>
        <w:t>Gopasu</w:t>
      </w:r>
      <w:proofErr w:type="spellEnd"/>
      <w:r w:rsidRPr="007D6AAC">
        <w:rPr>
          <w:rFonts w:ascii="Calibri" w:hAnsi="Calibri" w:cs="Calibri"/>
          <w:lang w:eastAsia="cs-CZ"/>
        </w:rPr>
        <w:t xml:space="preserve"> dobrým zvykem, nepůjde o suchopárné přehledy nebo marketingové prezentace. Na reálných příkladech z praxe a skutečnosti odpovídajících datech budou přednášející demonstrovat užitečné postupy a vysvětlovat využití </w:t>
      </w:r>
      <w:proofErr w:type="spellStart"/>
      <w:r w:rsidRPr="007D6AAC">
        <w:rPr>
          <w:rFonts w:ascii="Calibri" w:hAnsi="Calibri" w:cs="Calibri"/>
          <w:lang w:eastAsia="cs-CZ"/>
        </w:rPr>
        <w:t>Power</w:t>
      </w:r>
      <w:proofErr w:type="spellEnd"/>
      <w:r w:rsidRPr="007D6AAC">
        <w:rPr>
          <w:rFonts w:ascii="Calibri" w:hAnsi="Calibri" w:cs="Calibri"/>
          <w:lang w:eastAsia="cs-CZ"/>
        </w:rPr>
        <w:t xml:space="preserve"> BI nástrojů. Na konferenci se účastníci mimo jiné dozvědí, </w:t>
      </w:r>
      <w:r w:rsidR="00490877">
        <w:rPr>
          <w:rFonts w:ascii="Calibri" w:hAnsi="Calibri" w:cs="Calibri"/>
          <w:lang w:eastAsia="cs-CZ"/>
        </w:rPr>
        <w:t xml:space="preserve">jak získat </w:t>
      </w:r>
      <w:r w:rsidR="00490877" w:rsidRPr="00490877">
        <w:rPr>
          <w:rFonts w:ascii="Calibri" w:hAnsi="Calibri" w:cs="Calibri"/>
          <w:lang w:eastAsia="cs-CZ"/>
        </w:rPr>
        <w:t>přehledné řešení každodenního reportingu ve firmě</w:t>
      </w:r>
      <w:r w:rsidR="00490877">
        <w:rPr>
          <w:rFonts w:ascii="Calibri" w:hAnsi="Calibri" w:cs="Calibri"/>
          <w:lang w:eastAsia="cs-CZ"/>
        </w:rPr>
        <w:t xml:space="preserve">, </w:t>
      </w:r>
      <w:r w:rsidR="007A7A3E">
        <w:rPr>
          <w:rFonts w:ascii="Calibri" w:hAnsi="Calibri" w:cs="Calibri"/>
          <w:lang w:eastAsia="cs-CZ"/>
        </w:rPr>
        <w:t>mít po ruce</w:t>
      </w:r>
      <w:r w:rsidR="00490877">
        <w:rPr>
          <w:rFonts w:ascii="Calibri" w:hAnsi="Calibri" w:cs="Calibri"/>
          <w:lang w:eastAsia="cs-CZ"/>
        </w:rPr>
        <w:t xml:space="preserve"> </w:t>
      </w:r>
      <w:r w:rsidR="00490877" w:rsidRPr="00490877">
        <w:rPr>
          <w:rFonts w:ascii="Calibri" w:hAnsi="Calibri" w:cs="Calibri"/>
          <w:lang w:eastAsia="cs-CZ"/>
        </w:rPr>
        <w:t>reporty i aktuální data kdykoli je potřebujete</w:t>
      </w:r>
      <w:r w:rsidR="007A7A3E">
        <w:rPr>
          <w:rFonts w:ascii="Calibri" w:hAnsi="Calibri" w:cs="Calibri"/>
          <w:lang w:eastAsia="cs-CZ"/>
        </w:rPr>
        <w:t>. Dále zjistí, jak</w:t>
      </w:r>
      <w:r w:rsidR="00490877">
        <w:rPr>
          <w:rFonts w:ascii="Calibri" w:hAnsi="Calibri" w:cs="Calibri"/>
          <w:lang w:eastAsia="cs-CZ"/>
        </w:rPr>
        <w:t xml:space="preserve"> transformovat </w:t>
      </w:r>
      <w:r w:rsidR="00490877" w:rsidRPr="00490877">
        <w:rPr>
          <w:rFonts w:ascii="Calibri" w:hAnsi="Calibri" w:cs="Calibri"/>
          <w:lang w:eastAsia="cs-CZ"/>
        </w:rPr>
        <w:t xml:space="preserve">firemní data na obsáhlé vizuály, jejichž </w:t>
      </w:r>
      <w:r w:rsidR="007A7A3E">
        <w:rPr>
          <w:rFonts w:ascii="Calibri" w:hAnsi="Calibri" w:cs="Calibri"/>
          <w:lang w:eastAsia="cs-CZ"/>
        </w:rPr>
        <w:t xml:space="preserve">širší </w:t>
      </w:r>
      <w:r w:rsidR="00490877" w:rsidRPr="00490877">
        <w:rPr>
          <w:rFonts w:ascii="Calibri" w:hAnsi="Calibri" w:cs="Calibri"/>
          <w:lang w:eastAsia="cs-CZ"/>
        </w:rPr>
        <w:t xml:space="preserve">využití umožní soustředit se na to, co je pro </w:t>
      </w:r>
      <w:r w:rsidR="00490877">
        <w:rPr>
          <w:rFonts w:ascii="Calibri" w:hAnsi="Calibri" w:cs="Calibri"/>
          <w:lang w:eastAsia="cs-CZ"/>
        </w:rPr>
        <w:t xml:space="preserve">firmu předmětem podnikání. Jednotlivé přednášky se také </w:t>
      </w:r>
      <w:r w:rsidR="007A7A3E">
        <w:rPr>
          <w:rFonts w:ascii="Calibri" w:hAnsi="Calibri" w:cs="Calibri"/>
          <w:lang w:eastAsia="cs-CZ"/>
        </w:rPr>
        <w:t>zaměří</w:t>
      </w:r>
      <w:r w:rsidR="00490877">
        <w:rPr>
          <w:rFonts w:ascii="Calibri" w:hAnsi="Calibri" w:cs="Calibri"/>
          <w:lang w:eastAsia="cs-CZ"/>
        </w:rPr>
        <w:t xml:space="preserve"> na limity </w:t>
      </w:r>
      <w:proofErr w:type="spellStart"/>
      <w:r w:rsidR="00490877">
        <w:rPr>
          <w:rFonts w:ascii="Calibri" w:hAnsi="Calibri" w:cs="Calibri"/>
          <w:lang w:eastAsia="cs-CZ"/>
        </w:rPr>
        <w:t>Power</w:t>
      </w:r>
      <w:proofErr w:type="spellEnd"/>
      <w:r w:rsidR="00490877">
        <w:rPr>
          <w:rFonts w:ascii="Calibri" w:hAnsi="Calibri" w:cs="Calibri"/>
          <w:lang w:eastAsia="cs-CZ"/>
        </w:rPr>
        <w:t xml:space="preserve"> BI s ohledem na serverové služby, vytváření </w:t>
      </w:r>
      <w:r w:rsidR="00333097" w:rsidRPr="00333097">
        <w:rPr>
          <w:rFonts w:ascii="Calibri" w:hAnsi="Calibri" w:cs="Calibri"/>
          <w:lang w:eastAsia="cs-CZ"/>
        </w:rPr>
        <w:t>finanční</w:t>
      </w:r>
      <w:r w:rsidR="00490877">
        <w:rPr>
          <w:rFonts w:ascii="Calibri" w:hAnsi="Calibri" w:cs="Calibri"/>
          <w:lang w:eastAsia="cs-CZ"/>
        </w:rPr>
        <w:t>ch</w:t>
      </w:r>
      <w:r w:rsidR="00333097" w:rsidRPr="00333097">
        <w:rPr>
          <w:rFonts w:ascii="Calibri" w:hAnsi="Calibri" w:cs="Calibri"/>
          <w:lang w:eastAsia="cs-CZ"/>
        </w:rPr>
        <w:t xml:space="preserve"> report</w:t>
      </w:r>
      <w:r w:rsidR="00490877">
        <w:rPr>
          <w:rFonts w:ascii="Calibri" w:hAnsi="Calibri" w:cs="Calibri"/>
          <w:lang w:eastAsia="cs-CZ"/>
        </w:rPr>
        <w:t>ů</w:t>
      </w:r>
      <w:r w:rsidR="00333097" w:rsidRPr="00333097">
        <w:rPr>
          <w:rFonts w:ascii="Calibri" w:hAnsi="Calibri" w:cs="Calibri"/>
          <w:lang w:eastAsia="cs-CZ"/>
        </w:rPr>
        <w:t xml:space="preserve"> v projektech s velkým množstvím dat</w:t>
      </w:r>
      <w:r w:rsidR="00490877">
        <w:rPr>
          <w:rFonts w:ascii="Calibri" w:hAnsi="Calibri" w:cs="Calibri"/>
          <w:lang w:eastAsia="cs-CZ"/>
        </w:rPr>
        <w:t xml:space="preserve"> nebo na to, </w:t>
      </w:r>
      <w:r w:rsidR="00333097">
        <w:rPr>
          <w:rFonts w:ascii="Calibri" w:hAnsi="Calibri" w:cs="Calibri"/>
          <w:lang w:eastAsia="cs-CZ"/>
        </w:rPr>
        <w:t xml:space="preserve">jak lze </w:t>
      </w:r>
      <w:r w:rsidR="00333097" w:rsidRPr="00333097">
        <w:rPr>
          <w:rFonts w:ascii="Calibri" w:hAnsi="Calibri" w:cs="Calibri"/>
          <w:lang w:eastAsia="cs-CZ"/>
        </w:rPr>
        <w:t xml:space="preserve">pomoci DAX </w:t>
      </w:r>
      <w:r w:rsidR="00333097">
        <w:rPr>
          <w:rFonts w:ascii="Calibri" w:hAnsi="Calibri" w:cs="Calibri"/>
          <w:lang w:eastAsia="cs-CZ"/>
        </w:rPr>
        <w:t>dělat</w:t>
      </w:r>
      <w:r w:rsidR="00490877">
        <w:rPr>
          <w:rFonts w:ascii="Calibri" w:hAnsi="Calibri" w:cs="Calibri"/>
          <w:lang w:eastAsia="cs-CZ"/>
        </w:rPr>
        <w:t xml:space="preserve"> </w:t>
      </w:r>
      <w:r w:rsidR="00333097" w:rsidRPr="00333097">
        <w:rPr>
          <w:rFonts w:ascii="Calibri" w:hAnsi="Calibri" w:cs="Calibri"/>
          <w:lang w:eastAsia="cs-CZ"/>
        </w:rPr>
        <w:t xml:space="preserve">reporty dynamičtější a graficky </w:t>
      </w:r>
      <w:r w:rsidR="00490877">
        <w:rPr>
          <w:rFonts w:ascii="Calibri" w:hAnsi="Calibri" w:cs="Calibri"/>
          <w:lang w:eastAsia="cs-CZ"/>
        </w:rPr>
        <w:t xml:space="preserve">názornější. </w:t>
      </w:r>
    </w:p>
    <w:p w14:paraId="6C24A47D" w14:textId="73F7492F" w:rsidR="007D6AAC" w:rsidRPr="007D6AAC" w:rsidRDefault="007D6AAC" w:rsidP="007D6AAC">
      <w:pPr>
        <w:tabs>
          <w:tab w:val="left" w:pos="750"/>
          <w:tab w:val="left" w:pos="6180"/>
        </w:tabs>
        <w:rPr>
          <w:rFonts w:ascii="Calibri" w:hAnsi="Calibri" w:cs="Calibri"/>
          <w:i/>
          <w:lang w:eastAsia="cs-CZ"/>
        </w:rPr>
      </w:pPr>
      <w:r w:rsidRPr="007D6AAC">
        <w:rPr>
          <w:rFonts w:ascii="Calibri" w:hAnsi="Calibri" w:cs="Calibri"/>
          <w:i/>
          <w:lang w:eastAsia="cs-CZ"/>
        </w:rPr>
        <w:t xml:space="preserve">Konference </w:t>
      </w:r>
      <w:proofErr w:type="spellStart"/>
      <w:r w:rsidRPr="007D6AAC">
        <w:rPr>
          <w:rFonts w:ascii="Calibri" w:hAnsi="Calibri" w:cs="Calibri"/>
          <w:i/>
          <w:lang w:eastAsia="cs-CZ"/>
        </w:rPr>
        <w:t>Power</w:t>
      </w:r>
      <w:proofErr w:type="spellEnd"/>
      <w:r w:rsidRPr="007D6AAC">
        <w:rPr>
          <w:rFonts w:ascii="Calibri" w:hAnsi="Calibri" w:cs="Calibri"/>
          <w:i/>
          <w:lang w:eastAsia="cs-CZ"/>
        </w:rPr>
        <w:t xml:space="preserve"> BI </w:t>
      </w:r>
      <w:proofErr w:type="spellStart"/>
      <w:r w:rsidRPr="007D6AAC">
        <w:rPr>
          <w:rFonts w:ascii="Calibri" w:hAnsi="Calibri" w:cs="Calibri"/>
          <w:i/>
          <w:lang w:eastAsia="cs-CZ"/>
        </w:rPr>
        <w:t>Day</w:t>
      </w:r>
      <w:proofErr w:type="spellEnd"/>
      <w:r w:rsidRPr="007D6AAC">
        <w:rPr>
          <w:rFonts w:ascii="Calibri" w:hAnsi="Calibri" w:cs="Calibri"/>
          <w:i/>
          <w:lang w:eastAsia="cs-CZ"/>
        </w:rPr>
        <w:t xml:space="preserve"> se </w:t>
      </w:r>
      <w:r w:rsidR="00490877">
        <w:rPr>
          <w:rFonts w:ascii="Calibri" w:hAnsi="Calibri" w:cs="Calibri"/>
          <w:i/>
          <w:lang w:eastAsia="cs-CZ"/>
        </w:rPr>
        <w:t xml:space="preserve">uskuteční </w:t>
      </w:r>
      <w:r w:rsidRPr="007D6AAC">
        <w:rPr>
          <w:rFonts w:ascii="Calibri" w:hAnsi="Calibri" w:cs="Calibri"/>
          <w:i/>
          <w:lang w:eastAsia="cs-CZ"/>
        </w:rPr>
        <w:t>v</w:t>
      </w:r>
      <w:r w:rsidR="007A7A3E">
        <w:rPr>
          <w:rFonts w:ascii="Calibri" w:hAnsi="Calibri" w:cs="Calibri"/>
          <w:i/>
          <w:lang w:eastAsia="cs-CZ"/>
        </w:rPr>
        <w:t xml:space="preserve"> úterý </w:t>
      </w:r>
      <w:r w:rsidRPr="007D6AAC">
        <w:rPr>
          <w:rFonts w:ascii="Calibri" w:hAnsi="Calibri" w:cs="Calibri"/>
          <w:i/>
          <w:lang w:eastAsia="cs-CZ"/>
        </w:rPr>
        <w:t>1</w:t>
      </w:r>
      <w:r w:rsidR="007A7A3E">
        <w:rPr>
          <w:rFonts w:ascii="Calibri" w:hAnsi="Calibri" w:cs="Calibri"/>
          <w:i/>
          <w:lang w:eastAsia="cs-CZ"/>
        </w:rPr>
        <w:t>3</w:t>
      </w:r>
      <w:r w:rsidRPr="007D6AAC">
        <w:rPr>
          <w:rFonts w:ascii="Calibri" w:hAnsi="Calibri" w:cs="Calibri"/>
          <w:i/>
          <w:lang w:eastAsia="cs-CZ"/>
        </w:rPr>
        <w:t>. dubna 20</w:t>
      </w:r>
      <w:r w:rsidR="007A7A3E">
        <w:rPr>
          <w:rFonts w:ascii="Calibri" w:hAnsi="Calibri" w:cs="Calibri"/>
          <w:i/>
          <w:lang w:eastAsia="cs-CZ"/>
        </w:rPr>
        <w:t>21 v on-line podobě. Účastníci tak budou mít ještě týden po jejím uskutečnění přístup do archivu všech přednášek.</w:t>
      </w:r>
      <w:r w:rsidRPr="007D6AAC">
        <w:rPr>
          <w:rFonts w:ascii="Calibri" w:hAnsi="Calibri" w:cs="Calibri"/>
          <w:i/>
          <w:lang w:eastAsia="cs-CZ"/>
        </w:rPr>
        <w:t xml:space="preserve"> </w:t>
      </w:r>
    </w:p>
    <w:p w14:paraId="63BCA1F2" w14:textId="77777777" w:rsidR="007D6AAC" w:rsidRPr="00462092" w:rsidRDefault="007D6AAC" w:rsidP="0046209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6D0F846D" w14:textId="77777777" w:rsidR="005C0212" w:rsidRDefault="005C0212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07582D68" w14:textId="77777777" w:rsidR="00E3533C" w:rsidRPr="00556CCA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556CCA">
        <w:rPr>
          <w:rFonts w:ascii="Arial" w:hAnsi="Arial" w:cs="Arial"/>
          <w:sz w:val="20"/>
          <w:szCs w:val="20"/>
          <w:u w:val="single"/>
          <w:lang w:eastAsia="cs-CZ"/>
        </w:rPr>
        <w:lastRenderedPageBreak/>
        <w:t>O společnosti GOPAS, a. s.</w:t>
      </w:r>
    </w:p>
    <w:p w14:paraId="5CD2A028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17571346" w14:textId="7B59E112" w:rsidR="000B4AA7" w:rsidRDefault="00B9621F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Sect="00362CE5">
      <w:headerReference w:type="default" r:id="rId10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1AE4" w14:textId="77777777" w:rsidR="00B9621F" w:rsidRDefault="00B9621F">
      <w:r>
        <w:separator/>
      </w:r>
    </w:p>
  </w:endnote>
  <w:endnote w:type="continuationSeparator" w:id="0">
    <w:p w14:paraId="715D51EA" w14:textId="77777777" w:rsidR="00B9621F" w:rsidRDefault="00B9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0695" w14:textId="77777777" w:rsidR="00B9621F" w:rsidRDefault="00B9621F">
      <w:r>
        <w:separator/>
      </w:r>
    </w:p>
  </w:footnote>
  <w:footnote w:type="continuationSeparator" w:id="0">
    <w:p w14:paraId="799D3A4C" w14:textId="77777777" w:rsidR="00B9621F" w:rsidRDefault="00B9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FE02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715D976C" w14:textId="42F87A68" w:rsidR="002A4B23" w:rsidRDefault="007D6AAC">
    <w:pPr>
      <w:pStyle w:val="Zhlav"/>
    </w:pPr>
    <w:r>
      <w:rPr>
        <w:noProof/>
        <w:lang w:eastAsia="cs-CZ"/>
      </w:rPr>
      <w:drawing>
        <wp:inline distT="0" distB="0" distL="0" distR="0" wp14:anchorId="1E21202E" wp14:editId="4A69413C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4980"/>
    <w:multiLevelType w:val="hybridMultilevel"/>
    <w:tmpl w:val="0F6AC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26F3"/>
    <w:multiLevelType w:val="multilevel"/>
    <w:tmpl w:val="065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C"/>
    <w:rsid w:val="000000A6"/>
    <w:rsid w:val="00004FA2"/>
    <w:rsid w:val="00011DE6"/>
    <w:rsid w:val="000215E5"/>
    <w:rsid w:val="00035785"/>
    <w:rsid w:val="00035EB3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3595"/>
    <w:rsid w:val="0013069F"/>
    <w:rsid w:val="001315B7"/>
    <w:rsid w:val="001375AB"/>
    <w:rsid w:val="0014049B"/>
    <w:rsid w:val="00157199"/>
    <w:rsid w:val="001625EB"/>
    <w:rsid w:val="001659AE"/>
    <w:rsid w:val="00170E1A"/>
    <w:rsid w:val="00186822"/>
    <w:rsid w:val="001C0C2F"/>
    <w:rsid w:val="001C5F56"/>
    <w:rsid w:val="001C77D0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2E2F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33097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6342"/>
    <w:rsid w:val="003D7511"/>
    <w:rsid w:val="003E3502"/>
    <w:rsid w:val="003E425D"/>
    <w:rsid w:val="00405727"/>
    <w:rsid w:val="00405D18"/>
    <w:rsid w:val="00417541"/>
    <w:rsid w:val="0042521F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0877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31581"/>
    <w:rsid w:val="00632E3D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702E80"/>
    <w:rsid w:val="007238D2"/>
    <w:rsid w:val="007256F0"/>
    <w:rsid w:val="00734E03"/>
    <w:rsid w:val="00735359"/>
    <w:rsid w:val="0073573D"/>
    <w:rsid w:val="00742BBE"/>
    <w:rsid w:val="00746EF7"/>
    <w:rsid w:val="0075181C"/>
    <w:rsid w:val="00754066"/>
    <w:rsid w:val="00755ADF"/>
    <w:rsid w:val="00755D2B"/>
    <w:rsid w:val="00763C90"/>
    <w:rsid w:val="007641D7"/>
    <w:rsid w:val="00764AE4"/>
    <w:rsid w:val="00791426"/>
    <w:rsid w:val="007A09ED"/>
    <w:rsid w:val="007A1C01"/>
    <w:rsid w:val="007A7A3E"/>
    <w:rsid w:val="007B0FDC"/>
    <w:rsid w:val="007B652D"/>
    <w:rsid w:val="007C2E35"/>
    <w:rsid w:val="007D40AC"/>
    <w:rsid w:val="007D417D"/>
    <w:rsid w:val="007D6AAC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34ED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9621F"/>
    <w:rsid w:val="00BA2986"/>
    <w:rsid w:val="00BA5FD9"/>
    <w:rsid w:val="00BB1EA8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02D1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553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994C"/>
  <w15:chartTrackingRefBased/>
  <w15:docId w15:val="{8077EB13-868F-4D50-8F27-E4FCF66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D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as.us2.list-manage.com/track/click?u=308de5742ebd3cd6430f884dc&amp;id=62c330c1ac&amp;e=fd00206e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ark&#233;ta%20Cinkov&#225;\Documents\Library\Containers\com.apple.mail\Data\Library\Mail%20Downloads\12\work\plocha\23_11\Desktop\12\work\plocha\23_11\plocha%2019\AppData\Local\Microsoft\Windows\Temporary%20Internet%20Files\Content.Outlook\AppData\Local\Microsoft\Windows\Temporary%20Internet%20Files\Content.Outlook\PKLFLKBH\Go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3354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 Lachoutová - ASPEN.PR</cp:lastModifiedBy>
  <cp:revision>2</cp:revision>
  <cp:lastPrinted>2021-04-09T07:28:00Z</cp:lastPrinted>
  <dcterms:created xsi:type="dcterms:W3CDTF">2021-04-12T10:22:00Z</dcterms:created>
  <dcterms:modified xsi:type="dcterms:W3CDTF">2021-04-12T10:22:00Z</dcterms:modified>
</cp:coreProperties>
</file>