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1D58" w14:textId="77777777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7D7DB0ED" w14:textId="793F163B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>TISKOVÁ ZPRÁVA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A64B1C">
        <w:rPr>
          <w:sz w:val="28"/>
          <w:szCs w:val="28"/>
          <w:lang w:val="cs-CZ"/>
        </w:rPr>
        <w:t>10</w:t>
      </w:r>
      <w:r w:rsidR="0098607C">
        <w:rPr>
          <w:sz w:val="28"/>
          <w:szCs w:val="28"/>
          <w:lang w:val="cs-CZ"/>
        </w:rPr>
        <w:t xml:space="preserve">. </w:t>
      </w:r>
      <w:r w:rsidR="005972F0">
        <w:rPr>
          <w:sz w:val="28"/>
          <w:szCs w:val="28"/>
          <w:lang w:val="cs-CZ"/>
        </w:rPr>
        <w:t>6</w:t>
      </w:r>
      <w:r w:rsidR="0098607C">
        <w:rPr>
          <w:sz w:val="28"/>
          <w:szCs w:val="28"/>
          <w:lang w:val="cs-CZ"/>
        </w:rPr>
        <w:t>. 202</w:t>
      </w:r>
      <w:r w:rsidR="005C36C0">
        <w:rPr>
          <w:sz w:val="28"/>
          <w:szCs w:val="28"/>
          <w:lang w:val="cs-CZ"/>
        </w:rPr>
        <w:t>1</w:t>
      </w:r>
    </w:p>
    <w:p w14:paraId="32E1DA98" w14:textId="48C407A8" w:rsidR="005972F0" w:rsidRPr="005972F0" w:rsidRDefault="005972F0" w:rsidP="005972F0">
      <w:pPr>
        <w:spacing w:before="280" w:after="192"/>
        <w:rPr>
          <w:b/>
          <w:bCs/>
          <w:sz w:val="24"/>
          <w:szCs w:val="24"/>
        </w:rPr>
      </w:pPr>
      <w:r w:rsidRPr="005972F0">
        <w:rPr>
          <w:b/>
          <w:bCs/>
          <w:sz w:val="24"/>
          <w:szCs w:val="24"/>
        </w:rPr>
        <w:t xml:space="preserve">Podle </w:t>
      </w:r>
      <w:r w:rsidR="006B1794">
        <w:rPr>
          <w:b/>
          <w:bCs/>
          <w:sz w:val="24"/>
          <w:szCs w:val="24"/>
        </w:rPr>
        <w:t>studie</w:t>
      </w:r>
      <w:r w:rsidR="006B1794" w:rsidRPr="005972F0">
        <w:rPr>
          <w:b/>
          <w:bCs/>
          <w:sz w:val="24"/>
          <w:szCs w:val="24"/>
        </w:rPr>
        <w:t xml:space="preserve"> </w:t>
      </w:r>
      <w:r w:rsidRPr="005972F0">
        <w:rPr>
          <w:b/>
          <w:bCs/>
          <w:sz w:val="24"/>
          <w:szCs w:val="24"/>
        </w:rPr>
        <w:t xml:space="preserve">společnosti Accenture mohou investice do </w:t>
      </w:r>
      <w:r w:rsidR="008B5131">
        <w:rPr>
          <w:b/>
          <w:bCs/>
          <w:sz w:val="24"/>
          <w:szCs w:val="24"/>
        </w:rPr>
        <w:t>digitalizace a </w:t>
      </w:r>
      <w:r w:rsidRPr="005972F0">
        <w:rPr>
          <w:b/>
          <w:bCs/>
          <w:sz w:val="24"/>
          <w:szCs w:val="24"/>
        </w:rPr>
        <w:t xml:space="preserve">udržitelnosti do roku 2030 </w:t>
      </w:r>
      <w:r w:rsidR="008B5131">
        <w:rPr>
          <w:b/>
          <w:bCs/>
          <w:sz w:val="24"/>
          <w:szCs w:val="24"/>
        </w:rPr>
        <w:t xml:space="preserve">v Evropě </w:t>
      </w:r>
      <w:r w:rsidRPr="005972F0">
        <w:rPr>
          <w:b/>
          <w:bCs/>
          <w:sz w:val="24"/>
          <w:szCs w:val="24"/>
        </w:rPr>
        <w:t>přid</w:t>
      </w:r>
      <w:r w:rsidR="00C74039">
        <w:rPr>
          <w:b/>
          <w:bCs/>
          <w:sz w:val="24"/>
          <w:szCs w:val="24"/>
        </w:rPr>
        <w:t>at</w:t>
      </w:r>
      <w:r w:rsidRPr="005972F0">
        <w:rPr>
          <w:b/>
          <w:bCs/>
          <w:sz w:val="24"/>
          <w:szCs w:val="24"/>
        </w:rPr>
        <w:t xml:space="preserve"> miliony pracovních míst</w:t>
      </w:r>
    </w:p>
    <w:p w14:paraId="426149C9" w14:textId="0BA21505" w:rsidR="005972F0" w:rsidRDefault="005972F0" w:rsidP="006B1794">
      <w:pPr>
        <w:pStyle w:val="Odstavecseseznamem"/>
        <w:numPr>
          <w:ilvl w:val="0"/>
          <w:numId w:val="30"/>
        </w:numPr>
        <w:spacing w:before="280" w:after="192"/>
        <w:rPr>
          <w:b/>
          <w:bCs/>
        </w:rPr>
      </w:pPr>
      <w:r w:rsidRPr="001F1272">
        <w:rPr>
          <w:b/>
          <w:bCs/>
        </w:rPr>
        <w:t xml:space="preserve">Více než tři čtvrtiny </w:t>
      </w:r>
      <w:r w:rsidR="008B5131" w:rsidRPr="001F1272">
        <w:rPr>
          <w:b/>
          <w:bCs/>
        </w:rPr>
        <w:t xml:space="preserve">evropských </w:t>
      </w:r>
      <w:r w:rsidRPr="001F1272">
        <w:rPr>
          <w:b/>
          <w:bCs/>
        </w:rPr>
        <w:t>společností plánují v příštích třech letech zvýšit kvalifikaci nebo rekvalifikovat až 25 % svých pracovních sil</w:t>
      </w:r>
    </w:p>
    <w:p w14:paraId="1D0704A3" w14:textId="1248061C" w:rsidR="006B1794" w:rsidRPr="001F1272" w:rsidRDefault="006B1794" w:rsidP="001F1272">
      <w:pPr>
        <w:pStyle w:val="Odstavecseseznamem"/>
        <w:numPr>
          <w:ilvl w:val="0"/>
          <w:numId w:val="30"/>
        </w:numPr>
        <w:spacing w:before="280" w:after="192"/>
        <w:rPr>
          <w:b/>
          <w:bCs/>
        </w:rPr>
      </w:pPr>
      <w:r w:rsidRPr="006B1794">
        <w:rPr>
          <w:b/>
          <w:bCs/>
        </w:rPr>
        <w:t xml:space="preserve">Devět z </w:t>
      </w:r>
      <w:r w:rsidR="00A64B1C">
        <w:rPr>
          <w:b/>
          <w:bCs/>
        </w:rPr>
        <w:t>deseti</w:t>
      </w:r>
      <w:r w:rsidRPr="006B1794">
        <w:rPr>
          <w:b/>
          <w:bCs/>
        </w:rPr>
        <w:t xml:space="preserve"> evropských společností (88 %) plánuje letos zvýšit své investice do digitální transformace a udržitelnosti, přičemž pouze 58 % zvýšilo tyto investice v roce 2020</w:t>
      </w:r>
    </w:p>
    <w:p w14:paraId="350F0CEB" w14:textId="29588E0B" w:rsidR="002875E9" w:rsidRPr="002875E9" w:rsidRDefault="002875E9" w:rsidP="00EC1562">
      <w:pPr>
        <w:pStyle w:val="Bezmezer"/>
        <w:spacing w:after="192"/>
      </w:pPr>
    </w:p>
    <w:p w14:paraId="01EBFF98" w14:textId="34264465" w:rsidR="005972F0" w:rsidRPr="005972F0" w:rsidRDefault="005972F0" w:rsidP="005972F0">
      <w:pPr>
        <w:spacing w:afterLines="160" w:after="384"/>
      </w:pPr>
      <w:r w:rsidRPr="005972F0">
        <w:t xml:space="preserve">Podle </w:t>
      </w:r>
      <w:r w:rsidR="006B1794">
        <w:t>nové stude</w:t>
      </w:r>
      <w:r w:rsidR="006B1794" w:rsidRPr="005972F0">
        <w:t xml:space="preserve"> </w:t>
      </w:r>
      <w:r w:rsidRPr="005972F0">
        <w:t>společnosti Accenture</w:t>
      </w:r>
      <w:r w:rsidR="008B5131">
        <w:t>,</w:t>
      </w:r>
      <w:r w:rsidRPr="005972F0">
        <w:t xml:space="preserve"> provedené ve spolupráci s</w:t>
      </w:r>
      <w:r w:rsidR="00A64B1C">
        <w:t> </w:t>
      </w:r>
      <w:r w:rsidR="004D1B4A">
        <w:t>BusinessEurope</w:t>
      </w:r>
      <w:r w:rsidR="00A64B1C">
        <w:t>,</w:t>
      </w:r>
      <w:r w:rsidR="004D1B4A">
        <w:t> uskupením sdružujícím malé i velké firmy</w:t>
      </w:r>
      <w:r w:rsidR="008B5131">
        <w:t>,</w:t>
      </w:r>
      <w:r w:rsidRPr="005972F0">
        <w:t xml:space="preserve"> by zrychlené investice do digitálních technologií a udržitelnosti mohly do roku 2030 </w:t>
      </w:r>
      <w:r w:rsidR="004D1B4A">
        <w:t>vytvořit</w:t>
      </w:r>
      <w:r w:rsidRPr="005972F0">
        <w:t xml:space="preserve"> v Evropě až 5,7 milionu nových pracovních míst.</w:t>
      </w:r>
      <w:r w:rsidR="008B5131">
        <w:t xml:space="preserve"> Studie</w:t>
      </w:r>
      <w:r w:rsidRPr="005972F0">
        <w:t xml:space="preserve"> </w:t>
      </w:r>
      <w:hyperlink r:id="rId8" w:anchor="zoom=40" w:history="1">
        <w:r w:rsidRPr="005972F0">
          <w:rPr>
            <w:rStyle w:val="Hypertextovodkaz"/>
          </w:rPr>
          <w:t>Europe’s new dawn - Reinventing industry for future competitiveness</w:t>
        </w:r>
      </w:hyperlink>
      <w:r w:rsidRPr="005972F0">
        <w:t xml:space="preserve"> ukazuje, že ačkoli Evropa před pandemií z hlediska růstu a podílu na trhu držela krok s ostatními regiony,</w:t>
      </w:r>
      <w:r w:rsidR="004D1B4A">
        <w:t xml:space="preserve"> </w:t>
      </w:r>
      <w:r>
        <w:t>trajektorie vývoje</w:t>
      </w:r>
      <w:r w:rsidR="004D1B4A">
        <w:t xml:space="preserve"> se od té doby spíše</w:t>
      </w:r>
      <w:r w:rsidRPr="005972F0">
        <w:t xml:space="preserve"> </w:t>
      </w:r>
      <w:r>
        <w:t>odkláněla</w:t>
      </w:r>
      <w:r w:rsidRPr="005972F0">
        <w:t>. Evropské podniky nyní očekávají, že jejich zotavení z pandemie bude trvat nejméně o šest měsíců déle, než očekávají společnosti v asijsko-pacifické</w:t>
      </w:r>
      <w:r w:rsidR="004D1B4A">
        <w:t>m regionu</w:t>
      </w:r>
      <w:r>
        <w:t xml:space="preserve"> </w:t>
      </w:r>
      <w:r w:rsidRPr="005972F0">
        <w:t>a</w:t>
      </w:r>
      <w:r w:rsidR="008B5131">
        <w:t> </w:t>
      </w:r>
      <w:r>
        <w:t>v</w:t>
      </w:r>
      <w:r w:rsidR="008B5131">
        <w:t> </w:t>
      </w:r>
      <w:r>
        <w:t>S</w:t>
      </w:r>
      <w:r w:rsidRPr="005972F0">
        <w:t>everní Americe.</w:t>
      </w:r>
    </w:p>
    <w:p w14:paraId="3BC30FAC" w14:textId="731C0A16" w:rsidR="005972F0" w:rsidRPr="005972F0" w:rsidRDefault="006B1794" w:rsidP="005972F0">
      <w:pPr>
        <w:spacing w:afterLines="160" w:after="384"/>
      </w:pPr>
      <w:r>
        <w:t>Studie</w:t>
      </w:r>
      <w:r w:rsidR="005972F0" w:rsidRPr="005972F0">
        <w:t xml:space="preserve"> však ukazuje, že Evropa </w:t>
      </w:r>
      <w:r w:rsidR="005972F0">
        <w:t xml:space="preserve">je v pozici, kdy může využít </w:t>
      </w:r>
      <w:r w:rsidR="005972F0" w:rsidRPr="005972F0">
        <w:t xml:space="preserve">příležitost </w:t>
      </w:r>
      <w:r w:rsidR="005972F0">
        <w:t xml:space="preserve">k </w:t>
      </w:r>
      <w:r w:rsidR="005972F0" w:rsidRPr="005972F0">
        <w:t>budoucímu růstu</w:t>
      </w:r>
      <w:r w:rsidR="00A64B1C">
        <w:t>,</w:t>
      </w:r>
      <w:r w:rsidR="004D1B4A">
        <w:t xml:space="preserve"> především</w:t>
      </w:r>
      <w:r w:rsidR="005972F0" w:rsidRPr="005972F0">
        <w:t xml:space="preserve"> díky své síle v klíčových průmyslových odvětvích. Tato síla spojená s investicemi do digitalizace a</w:t>
      </w:r>
      <w:r w:rsidR="00A64B1C">
        <w:t> </w:t>
      </w:r>
      <w:r w:rsidR="005972F0" w:rsidRPr="005972F0">
        <w:t>udržitelnosti by mohla do roku 2030 zvýšit zaměstnanost a vytvořit miliony pracovních míst.</w:t>
      </w:r>
      <w:r w:rsidR="008B5131">
        <w:t xml:space="preserve"> </w:t>
      </w:r>
      <w:r w:rsidR="005972F0" w:rsidRPr="005972F0">
        <w:t xml:space="preserve">Rychlé investice do digitalizace a udržitelnosti </w:t>
      </w:r>
      <w:r w:rsidR="00A64B1C">
        <w:t>–</w:t>
      </w:r>
      <w:r w:rsidR="005972F0" w:rsidRPr="005972F0">
        <w:t xml:space="preserve"> které </w:t>
      </w:r>
      <w:r>
        <w:t>studie</w:t>
      </w:r>
      <w:r w:rsidRPr="005972F0">
        <w:t xml:space="preserve"> </w:t>
      </w:r>
      <w:r w:rsidR="005972F0" w:rsidRPr="005972F0">
        <w:t xml:space="preserve">označuje jako „Twin Transformation“ </w:t>
      </w:r>
      <w:r w:rsidR="00A64B1C">
        <w:t>–</w:t>
      </w:r>
      <w:r w:rsidR="005972F0" w:rsidRPr="005972F0">
        <w:t xml:space="preserve"> by mohly </w:t>
      </w:r>
      <w:r w:rsidR="004D1B4A">
        <w:t xml:space="preserve">výrazně </w:t>
      </w:r>
      <w:r w:rsidR="005972F0" w:rsidRPr="005972F0">
        <w:t xml:space="preserve">podpořit </w:t>
      </w:r>
      <w:r w:rsidR="008B5131">
        <w:t xml:space="preserve"> </w:t>
      </w:r>
      <w:r w:rsidR="005972F0" w:rsidRPr="005972F0">
        <w:t>tvorbu pracovních míst</w:t>
      </w:r>
      <w:r w:rsidR="008B5131">
        <w:t>. Těch by pak</w:t>
      </w:r>
      <w:r w:rsidR="005972F0" w:rsidRPr="005972F0">
        <w:t xml:space="preserve"> do roku 2030 v regionu přib</w:t>
      </w:r>
      <w:r w:rsidR="008B5131">
        <w:t>ylo</w:t>
      </w:r>
      <w:r w:rsidR="005972F0" w:rsidRPr="005972F0">
        <w:t xml:space="preserve"> až o 5,7 milionu více ve srovnání se situací, kdy by</w:t>
      </w:r>
      <w:r w:rsidR="0098309B">
        <w:t xml:space="preserve"> tempo</w:t>
      </w:r>
      <w:r w:rsidR="005972F0" w:rsidRPr="005972F0">
        <w:t xml:space="preserve"> investice do digitálního a udržitelného rozvoje nezrychlil</w:t>
      </w:r>
      <w:r w:rsidR="0098309B">
        <w:t>o</w:t>
      </w:r>
      <w:r w:rsidR="005972F0" w:rsidRPr="005972F0">
        <w:t xml:space="preserve">. Mezi průmyslová odvětví, v nichž by </w:t>
      </w:r>
      <w:r w:rsidR="008B5131">
        <w:t>mohla</w:t>
      </w:r>
      <w:r w:rsidR="005972F0" w:rsidRPr="005972F0">
        <w:t xml:space="preserve"> </w:t>
      </w:r>
      <w:r w:rsidR="004D1B4A">
        <w:t>nová</w:t>
      </w:r>
      <w:r w:rsidR="005972F0" w:rsidRPr="005972F0">
        <w:t xml:space="preserve"> pracovní místa vznikat, patří výroba průmyslových zařízení, high tech, software, veřejné služby, automobilový průmysl, biologické vědy či oblast médií a komunikace. </w:t>
      </w:r>
    </w:p>
    <w:p w14:paraId="453D10A0" w14:textId="3B1AB58D" w:rsidR="005972F0" w:rsidRPr="005972F0" w:rsidRDefault="005972F0" w:rsidP="005972F0">
      <w:pPr>
        <w:spacing w:afterLines="160" w:after="384"/>
      </w:pPr>
      <w:r w:rsidRPr="005972F0">
        <w:t xml:space="preserve">K vytvoření těchto pracovních míst </w:t>
      </w:r>
      <w:r w:rsidR="0098309B">
        <w:t>musí Evropa</w:t>
      </w:r>
      <w:r w:rsidRPr="005972F0">
        <w:t xml:space="preserve"> </w:t>
      </w:r>
      <w:r w:rsidR="0098309B">
        <w:t>upevnit</w:t>
      </w:r>
      <w:r w:rsidRPr="005972F0">
        <w:t xml:space="preserve"> sv</w:t>
      </w:r>
      <w:r w:rsidR="008B5131">
        <w:t>ou</w:t>
      </w:r>
      <w:r w:rsidRPr="005972F0">
        <w:t xml:space="preserve"> </w:t>
      </w:r>
      <w:r w:rsidR="008B5131">
        <w:t>přední pozici</w:t>
      </w:r>
      <w:r w:rsidRPr="005972F0">
        <w:t xml:space="preserve"> v automobilovém a</w:t>
      </w:r>
      <w:r w:rsidR="008B5131">
        <w:t> </w:t>
      </w:r>
      <w:r w:rsidRPr="005972F0">
        <w:t>spotřebním průmyslu, v komerčních i veřejných službách a v chemickém průmyslu</w:t>
      </w:r>
      <w:r w:rsidR="008B5131">
        <w:t>,</w:t>
      </w:r>
      <w:r w:rsidRPr="005972F0">
        <w:t xml:space="preserve"> a</w:t>
      </w:r>
      <w:r w:rsidR="0098309B">
        <w:t xml:space="preserve"> také</w:t>
      </w:r>
      <w:r w:rsidRPr="005972F0">
        <w:t xml:space="preserve"> stavět na potenciálu</w:t>
      </w:r>
      <w:r w:rsidR="0098309B">
        <w:t xml:space="preserve"> některých</w:t>
      </w:r>
      <w:r w:rsidRPr="005972F0">
        <w:t xml:space="preserve"> odvětví, v nichž jsou evropské podniky již dobře etablované, jako je letecký a</w:t>
      </w:r>
      <w:r w:rsidR="0082125D">
        <w:t> </w:t>
      </w:r>
      <w:r w:rsidRPr="005972F0">
        <w:t xml:space="preserve">obranný průmysl, přírodní vědy a komunikace/média. Příležitosti existují i v jiných  odvětvích, </w:t>
      </w:r>
      <w:r w:rsidR="0098309B">
        <w:t>jakými je například</w:t>
      </w:r>
      <w:r w:rsidRPr="005972F0">
        <w:t xml:space="preserve"> výrob</w:t>
      </w:r>
      <w:r w:rsidR="0098309B">
        <w:t>a</w:t>
      </w:r>
      <w:r w:rsidRPr="005972F0">
        <w:t xml:space="preserve"> průmyslových zařízení</w:t>
      </w:r>
      <w:r w:rsidR="0098309B">
        <w:t xml:space="preserve"> či</w:t>
      </w:r>
      <w:r w:rsidR="00A64B1C">
        <w:t xml:space="preserve"> </w:t>
      </w:r>
      <w:r w:rsidR="0098309B">
        <w:t>vývoj</w:t>
      </w:r>
      <w:r w:rsidRPr="005972F0">
        <w:t xml:space="preserve"> technologií a softwaru</w:t>
      </w:r>
      <w:r w:rsidR="0098309B">
        <w:t>.</w:t>
      </w:r>
      <w:r w:rsidRPr="005972F0">
        <w:t xml:space="preserve"> </w:t>
      </w:r>
      <w:r w:rsidR="0098309B">
        <w:t>Investice do inovací je proto velice důležitá.</w:t>
      </w:r>
    </w:p>
    <w:p w14:paraId="52B3AD7B" w14:textId="44F3E300" w:rsidR="005972F0" w:rsidRPr="005972F0" w:rsidRDefault="005972F0" w:rsidP="005972F0">
      <w:pPr>
        <w:spacing w:afterLines="160" w:after="384"/>
      </w:pPr>
      <w:r w:rsidRPr="005972F0">
        <w:t xml:space="preserve">„Jsme svědky vzniku nového paradigmatu pro růst a konkurenceschopnost na celém světě, které mohou evropské společnosti dobře využít,“ uvedl Jean-Marc Ollagnier, generální ředitel společnosti Accenture </w:t>
      </w:r>
      <w:r w:rsidR="006B1794">
        <w:t>pro Evropu</w:t>
      </w:r>
      <w:r w:rsidRPr="005972F0">
        <w:t>. „</w:t>
      </w:r>
      <w:r w:rsidR="0098309B">
        <w:t>P</w:t>
      </w:r>
      <w:r w:rsidRPr="005972F0">
        <w:t>oměrně pomal</w:t>
      </w:r>
      <w:r w:rsidR="0098309B">
        <w:t>é tempo</w:t>
      </w:r>
      <w:r w:rsidRPr="005972F0">
        <w:t xml:space="preserve"> vakcinace v Evropě může brzdit naděje podniků na rychlé oživení</w:t>
      </w:r>
      <w:r w:rsidR="0098309B">
        <w:t xml:space="preserve"> provozu.</w:t>
      </w:r>
      <w:r w:rsidRPr="005972F0">
        <w:t xml:space="preserve"> </w:t>
      </w:r>
      <w:r w:rsidR="0098309B">
        <w:t>Avšak v</w:t>
      </w:r>
      <w:r w:rsidRPr="005972F0">
        <w:t>edoucí pozice</w:t>
      </w:r>
      <w:r w:rsidR="0098309B">
        <w:t>, kterou</w:t>
      </w:r>
      <w:r w:rsidRPr="005972F0">
        <w:t xml:space="preserve"> </w:t>
      </w:r>
      <w:r w:rsidR="009513ED">
        <w:t>Evropa</w:t>
      </w:r>
      <w:r w:rsidR="0098309B">
        <w:t xml:space="preserve"> zastává </w:t>
      </w:r>
      <w:r w:rsidRPr="005972F0">
        <w:t>v oblasti udržitelnosti – spolu s</w:t>
      </w:r>
      <w:r w:rsidR="009513ED">
        <w:t xml:space="preserve"> dalšími</w:t>
      </w:r>
      <w:r w:rsidRPr="005972F0">
        <w:t xml:space="preserve"> investicemi do nejslibnějších technologií a rozvíjejících se mezioborových ekosystémů, jako je mobilita – by mohla zvýšit její konkurenceschopnost, umožnit nástup globálních lídrů a </w:t>
      </w:r>
      <w:r w:rsidR="009513ED">
        <w:t>vytvořit</w:t>
      </w:r>
      <w:r w:rsidRPr="005972F0">
        <w:t xml:space="preserve"> miliony nových pracovních míst.“</w:t>
      </w:r>
    </w:p>
    <w:p w14:paraId="52131BFA" w14:textId="04504EA8" w:rsidR="005972F0" w:rsidRDefault="005972F0" w:rsidP="005972F0">
      <w:pPr>
        <w:spacing w:afterLines="160" w:after="384"/>
      </w:pPr>
      <w:r w:rsidRPr="005972F0">
        <w:lastRenderedPageBreak/>
        <w:t>Aby si evropský průmysl udržel svoji pozici v daných oborech nebo se v nich stal lídrem, bude muset investovat do určitých technologií a oblastí s vysokým růstem. Podle průzkumu</w:t>
      </w:r>
      <w:r w:rsidR="00A64B1C">
        <w:t>,</w:t>
      </w:r>
      <w:r w:rsidRPr="005972F0">
        <w:t xml:space="preserve"> provedeného se</w:t>
      </w:r>
      <w:r w:rsidR="00A64B1C">
        <w:t xml:space="preserve"> </w:t>
      </w:r>
      <w:r w:rsidRPr="005972F0">
        <w:t>700 výkonnými manažery v celé Evropě</w:t>
      </w:r>
      <w:r w:rsidR="00A64B1C">
        <w:t>,</w:t>
      </w:r>
      <w:r w:rsidRPr="005972F0">
        <w:t xml:space="preserve"> by se investice do technologií měly zaměřit na umělou inteligenci, kterou uvádí 66 % respondentů, 5G a 6G (58 %), cloud (52 %) a baterie nové generace (34 %). Když byli požádáni o identifikaci oblastí s vysokým růstem,</w:t>
      </w:r>
      <w:r w:rsidR="009513ED">
        <w:t xml:space="preserve"> tzv.</w:t>
      </w:r>
      <w:r w:rsidRPr="005972F0">
        <w:t xml:space="preserve"> </w:t>
      </w:r>
      <w:r w:rsidR="009513ED">
        <w:t>„</w:t>
      </w:r>
      <w:r w:rsidRPr="005972F0">
        <w:t>inteligentní výrobu</w:t>
      </w:r>
      <w:r w:rsidR="009513ED">
        <w:t>“</w:t>
      </w:r>
      <w:r w:rsidRPr="005972F0">
        <w:t xml:space="preserve"> uvedlo více dotazovaných (55</w:t>
      </w:r>
      <w:r w:rsidR="008B5131">
        <w:t> </w:t>
      </w:r>
      <w:r w:rsidRPr="005972F0">
        <w:t xml:space="preserve">%) než jakékoli jiné oblasti. Následovala </w:t>
      </w:r>
      <w:r w:rsidR="005F1A03">
        <w:t>„</w:t>
      </w:r>
      <w:r w:rsidRPr="005972F0">
        <w:t>digitalizace zdraví</w:t>
      </w:r>
      <w:r w:rsidR="005F1A03">
        <w:t>“</w:t>
      </w:r>
      <w:r w:rsidRPr="005972F0">
        <w:t xml:space="preserve"> (50 %), </w:t>
      </w:r>
      <w:r w:rsidR="005F1A03">
        <w:t>„</w:t>
      </w:r>
      <w:r w:rsidRPr="005972F0">
        <w:t>inteligentní mobilita</w:t>
      </w:r>
      <w:r w:rsidR="009513ED">
        <w:t>“</w:t>
      </w:r>
      <w:r w:rsidRPr="005972F0">
        <w:t xml:space="preserve"> (46 %) a</w:t>
      </w:r>
      <w:r w:rsidR="008B5131">
        <w:t> </w:t>
      </w:r>
      <w:r w:rsidR="005F1A03">
        <w:t>„</w:t>
      </w:r>
      <w:r w:rsidRPr="005972F0">
        <w:t>přeměna energetiky</w:t>
      </w:r>
      <w:r w:rsidR="005F1A03">
        <w:t>“</w:t>
      </w:r>
      <w:r w:rsidR="008B5131">
        <w:t xml:space="preserve"> </w:t>
      </w:r>
      <w:r w:rsidRPr="005972F0">
        <w:t>(33 %)</w:t>
      </w:r>
      <w:r w:rsidR="009513ED">
        <w:t>.</w:t>
      </w:r>
    </w:p>
    <w:p w14:paraId="03D7BF8F" w14:textId="77777777" w:rsidR="00EC1562" w:rsidRPr="005972F0" w:rsidRDefault="00EC1562" w:rsidP="00EC1562">
      <w:pPr>
        <w:pStyle w:val="Bezmezer"/>
        <w:spacing w:after="192"/>
      </w:pPr>
    </w:p>
    <w:p w14:paraId="42252CEC" w14:textId="77777777" w:rsidR="005972F0" w:rsidRPr="005972F0" w:rsidRDefault="005972F0" w:rsidP="00EC1562">
      <w:pPr>
        <w:spacing w:afterLines="60" w:after="144"/>
        <w:rPr>
          <w:b/>
          <w:bCs/>
        </w:rPr>
      </w:pPr>
      <w:r w:rsidRPr="005972F0">
        <w:rPr>
          <w:b/>
          <w:bCs/>
        </w:rPr>
        <w:t>Evropské podniky urychlující investice do technologií, udržitelnosti a svých pracovních sil</w:t>
      </w:r>
    </w:p>
    <w:p w14:paraId="2739312D" w14:textId="3FE0ABBE" w:rsidR="005972F0" w:rsidRPr="005972F0" w:rsidRDefault="005972F0" w:rsidP="005972F0">
      <w:pPr>
        <w:spacing w:afterLines="160" w:after="384"/>
      </w:pPr>
      <w:r w:rsidRPr="005972F0">
        <w:t xml:space="preserve">Devět z </w:t>
      </w:r>
      <w:r w:rsidR="00A64B1C">
        <w:t>deseti</w:t>
      </w:r>
      <w:r w:rsidR="00A64B1C" w:rsidRPr="005972F0">
        <w:t xml:space="preserve"> </w:t>
      </w:r>
      <w:r w:rsidRPr="005972F0">
        <w:t>evropských společností (88 %) plánuje letos zvýšit své investice do digitální transformace a udržitelnosti, přičemž pouze 58 % zvýšilo tyto investice v roce 2020. Rovněž kladou velký důraz na rekvalifikaci pracovních sil. Více než tři čtvrtiny (86 %) evropských společností plánují v</w:t>
      </w:r>
      <w:r w:rsidR="00EC1562">
        <w:t> </w:t>
      </w:r>
      <w:r w:rsidRPr="005972F0">
        <w:t xml:space="preserve">příštích třech letech zvýšit kvalifikaci nebo rekvalifikovat až 25 % zaměstnanců, aby drželi krok s potřebami své společnosti. Celkově by </w:t>
      </w:r>
      <w:r w:rsidR="00F42506">
        <w:t xml:space="preserve">ze </w:t>
      </w:r>
      <w:r w:rsidRPr="005972F0">
        <w:t>zvyšování kvalifikace a</w:t>
      </w:r>
      <w:r w:rsidR="00EC1562">
        <w:t> </w:t>
      </w:r>
      <w:r w:rsidRPr="005972F0">
        <w:t xml:space="preserve">rekvalifikace mohlo těžit přibližně sedm milionů pracovníků. </w:t>
      </w:r>
    </w:p>
    <w:p w14:paraId="6DB155CA" w14:textId="77777777" w:rsidR="005972F0" w:rsidRPr="005972F0" w:rsidRDefault="005972F0" w:rsidP="00EC1562">
      <w:pPr>
        <w:pStyle w:val="Bezmezer"/>
        <w:spacing w:after="192"/>
      </w:pPr>
    </w:p>
    <w:p w14:paraId="47350EFC" w14:textId="77777777" w:rsidR="005972F0" w:rsidRPr="005972F0" w:rsidRDefault="005972F0" w:rsidP="00EC1562">
      <w:pPr>
        <w:spacing w:afterLines="60" w:after="144"/>
        <w:rPr>
          <w:b/>
          <w:bCs/>
        </w:rPr>
      </w:pPr>
      <w:r w:rsidRPr="005972F0">
        <w:rPr>
          <w:b/>
          <w:bCs/>
        </w:rPr>
        <w:t>Zásadní úloha vlád evropských zemí a orgánů EU při posilování pozice evropských lídrů</w:t>
      </w:r>
    </w:p>
    <w:p w14:paraId="598CA2E7" w14:textId="74D588A8" w:rsidR="005972F0" w:rsidRPr="005972F0" w:rsidRDefault="00F42506" w:rsidP="005972F0">
      <w:pPr>
        <w:spacing w:afterLines="160" w:after="384"/>
      </w:pPr>
      <w:r>
        <w:t xml:space="preserve">Klíčovou roli </w:t>
      </w:r>
      <w:r w:rsidR="00A64B1C">
        <w:t>při</w:t>
      </w:r>
      <w:r>
        <w:t xml:space="preserve"> posílení evropského průmyslu a tvorb</w:t>
      </w:r>
      <w:r w:rsidR="0082125D">
        <w:t>ě</w:t>
      </w:r>
      <w:r>
        <w:t xml:space="preserve"> nových pracovních míst v regionu budou hrát evropské vlády a orgány EU. </w:t>
      </w:r>
      <w:r w:rsidR="005972F0" w:rsidRPr="005972F0">
        <w:t>Průzkum určil pět</w:t>
      </w:r>
      <w:r w:rsidR="0082125D">
        <w:t xml:space="preserve"> </w:t>
      </w:r>
      <w:r>
        <w:t>hlavních kroků</w:t>
      </w:r>
      <w:r w:rsidR="005972F0" w:rsidRPr="005972F0">
        <w:t>, které od nich evropské firmy očekávají</w:t>
      </w:r>
      <w:r w:rsidR="0006037B">
        <w:t>. Mezi ně patří</w:t>
      </w:r>
      <w:r w:rsidR="0082125D">
        <w:t>:</w:t>
      </w:r>
    </w:p>
    <w:p w14:paraId="6DEA3CDF" w14:textId="32AE8130" w:rsidR="00EC1562" w:rsidRDefault="005972F0" w:rsidP="005972F0">
      <w:pPr>
        <w:numPr>
          <w:ilvl w:val="0"/>
          <w:numId w:val="29"/>
        </w:numPr>
        <w:spacing w:afterLines="160" w:after="384"/>
      </w:pPr>
      <w:r w:rsidRPr="005972F0">
        <w:rPr>
          <w:b/>
          <w:bCs/>
        </w:rPr>
        <w:t>Podpo</w:t>
      </w:r>
      <w:r w:rsidR="0006037B">
        <w:rPr>
          <w:b/>
          <w:bCs/>
        </w:rPr>
        <w:t>řit</w:t>
      </w:r>
      <w:r w:rsidRPr="005972F0">
        <w:rPr>
          <w:b/>
          <w:bCs/>
        </w:rPr>
        <w:t xml:space="preserve"> vznik </w:t>
      </w:r>
      <w:r w:rsidR="0006037B">
        <w:rPr>
          <w:b/>
          <w:bCs/>
        </w:rPr>
        <w:t xml:space="preserve">vzdělané a kvalifikované </w:t>
      </w:r>
      <w:r w:rsidRPr="005972F0">
        <w:rPr>
          <w:b/>
          <w:bCs/>
        </w:rPr>
        <w:t>pracovní síly</w:t>
      </w:r>
      <w:r w:rsidRPr="005972F0">
        <w:t>: to zahrnuje modernizaci systémů vzdělávání a</w:t>
      </w:r>
      <w:r w:rsidR="00EC1562">
        <w:t> </w:t>
      </w:r>
      <w:r w:rsidRPr="005972F0">
        <w:t>odborné přípravy, podporou klíčových inkubátorů</w:t>
      </w:r>
      <w:r w:rsidR="00F42506">
        <w:t xml:space="preserve"> pro nové</w:t>
      </w:r>
      <w:r w:rsidRPr="005972F0">
        <w:t xml:space="preserve"> talent</w:t>
      </w:r>
      <w:r w:rsidR="00F42506">
        <w:t>y</w:t>
      </w:r>
      <w:r w:rsidRPr="005972F0">
        <w:t xml:space="preserve"> a zajištění digitální gramotnosti, celoživotního učení a odborného vzdělávání.</w:t>
      </w:r>
    </w:p>
    <w:p w14:paraId="2A5205CF" w14:textId="64FA25AD" w:rsidR="00EC1562" w:rsidRDefault="005972F0" w:rsidP="005972F0">
      <w:pPr>
        <w:numPr>
          <w:ilvl w:val="0"/>
          <w:numId w:val="29"/>
        </w:numPr>
        <w:spacing w:afterLines="160" w:after="384"/>
      </w:pPr>
      <w:r w:rsidRPr="00EC1562">
        <w:rPr>
          <w:b/>
          <w:bCs/>
        </w:rPr>
        <w:t>Umož</w:t>
      </w:r>
      <w:r w:rsidR="0006037B">
        <w:rPr>
          <w:b/>
          <w:bCs/>
        </w:rPr>
        <w:t>nit</w:t>
      </w:r>
      <w:r w:rsidRPr="00EC1562">
        <w:rPr>
          <w:b/>
          <w:bCs/>
        </w:rPr>
        <w:t xml:space="preserve"> digitální transformac</w:t>
      </w:r>
      <w:r w:rsidR="0006037B">
        <w:rPr>
          <w:b/>
          <w:bCs/>
        </w:rPr>
        <w:t>i</w:t>
      </w:r>
      <w:r w:rsidRPr="00EC1562">
        <w:rPr>
          <w:b/>
          <w:bCs/>
        </w:rPr>
        <w:t xml:space="preserve"> a přechod k udržitelné ekonomice</w:t>
      </w:r>
      <w:r w:rsidRPr="005972F0">
        <w:t>: to zahrnuje plánování a</w:t>
      </w:r>
      <w:r w:rsidR="00EC1562">
        <w:t> </w:t>
      </w:r>
      <w:r w:rsidRPr="005972F0">
        <w:t xml:space="preserve">zavedení společné technologické infrastruktury (5G, </w:t>
      </w:r>
      <w:r w:rsidR="00EC1562">
        <w:t>c</w:t>
      </w:r>
      <w:r w:rsidRPr="005972F0">
        <w:t>loud, IoT, AI) a podporu úsilí o</w:t>
      </w:r>
      <w:r w:rsidR="00EC1562">
        <w:t> </w:t>
      </w:r>
      <w:r w:rsidRPr="005972F0">
        <w:t>dekarbonizaci. Očekává se také vytvoření regulačního rámce vstřícného k investicím a</w:t>
      </w:r>
      <w:r w:rsidR="00EC1562">
        <w:t> </w:t>
      </w:r>
      <w:r w:rsidRPr="005972F0">
        <w:t>inovacím, například snížením právní fragmentace a byrokracie a dalším rozvojem inovačních center pro testování nových technologií.</w:t>
      </w:r>
    </w:p>
    <w:p w14:paraId="2B1627EE" w14:textId="7C0D70E5" w:rsidR="005972F0" w:rsidRPr="005972F0" w:rsidRDefault="005972F0" w:rsidP="005972F0">
      <w:pPr>
        <w:numPr>
          <w:ilvl w:val="0"/>
          <w:numId w:val="29"/>
        </w:numPr>
        <w:spacing w:afterLines="160" w:after="384"/>
      </w:pPr>
      <w:r w:rsidRPr="00EC1562">
        <w:rPr>
          <w:b/>
          <w:bCs/>
        </w:rPr>
        <w:t>Podporovat rozvoj průmyslových odvětví s vysokým potenciálem</w:t>
      </w:r>
      <w:r w:rsidRPr="005972F0">
        <w:t>: zejména investicemi do výzkumu a inovací, přijetím politiky na podporu rozvoje inovativních průmyslových ekosystémů a</w:t>
      </w:r>
      <w:r w:rsidR="00EC1562">
        <w:t> </w:t>
      </w:r>
      <w:r w:rsidRPr="005972F0">
        <w:t>vytvářením partnerství veřejného a soukromého sektoru.</w:t>
      </w:r>
    </w:p>
    <w:p w14:paraId="792E0D82" w14:textId="77777777" w:rsidR="0082125D" w:rsidRDefault="0082125D" w:rsidP="00580DDA">
      <w:pPr>
        <w:spacing w:after="192"/>
        <w:rPr>
          <w:b/>
          <w:bCs/>
        </w:rPr>
      </w:pPr>
    </w:p>
    <w:p w14:paraId="2778917F" w14:textId="77777777" w:rsidR="0082125D" w:rsidRDefault="0082125D">
      <w:pPr>
        <w:spacing w:afterLines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38666D4" w14:textId="734B368C" w:rsidR="00580DDA" w:rsidRPr="00580DDA" w:rsidRDefault="00580DDA" w:rsidP="00580DDA">
      <w:pPr>
        <w:spacing w:after="192"/>
      </w:pPr>
      <w:r w:rsidRPr="00580DDA">
        <w:rPr>
          <w:b/>
          <w:bCs/>
        </w:rPr>
        <w:lastRenderedPageBreak/>
        <w:t>O společnosti Accenture</w:t>
      </w:r>
    </w:p>
    <w:p w14:paraId="1623A78A" w14:textId="1D725562" w:rsidR="00580DDA" w:rsidRPr="00580DDA" w:rsidRDefault="00580DDA" w:rsidP="00580DDA">
      <w:pPr>
        <w:spacing w:after="192"/>
      </w:pPr>
      <w:r w:rsidRPr="00580DDA">
        <w:t>Accenture je globální společnost poskytující profesionální služby v</w:t>
      </w:r>
      <w:r>
        <w:t xml:space="preserve"> oblasti digitalizace, cloudu a </w:t>
      </w:r>
      <w:r w:rsidRPr="00580DDA">
        <w:t>kybernetické bezpečnosti. Díky propojení zkušeností a specializovaných dovedností ve více než 40 průmyslových odvětvích nabízíme služby v oblastech poradenství &amp; strateg</w:t>
      </w:r>
      <w:r>
        <w:t xml:space="preserve">ie, Interactive, Technology a </w:t>
      </w:r>
      <w:r w:rsidRPr="00580DDA">
        <w:t>Operations – a to díky podp</w:t>
      </w:r>
      <w:r>
        <w:t>oř</w:t>
      </w:r>
      <w:r w:rsidRPr="00580DDA">
        <w:t xml:space="preserve">e největší celosvětové sítě Advanced Technology a Intelligent Operations center. Našich </w:t>
      </w:r>
      <w:r w:rsidR="00C75407" w:rsidRPr="00C75407">
        <w:t>537</w:t>
      </w:r>
      <w:r w:rsidR="005972F0">
        <w:t xml:space="preserve"> </w:t>
      </w:r>
      <w:r w:rsidR="00C75407" w:rsidRPr="00C75407">
        <w:t>000</w:t>
      </w:r>
      <w:r w:rsidR="00C75407">
        <w:t xml:space="preserve"> </w:t>
      </w:r>
      <w:r w:rsidRPr="00580DDA">
        <w:t>zaměstnanců využívá možnosti nejnovějších technologií i lidské vynalézavosti v práci pro klienty ve více než 120 zemích. D</w:t>
      </w:r>
      <w:r>
        <w:t>íky síle změn vytváříme hodnoty a zv</w:t>
      </w:r>
      <w:r w:rsidRPr="00580DDA">
        <w:t>yšujeme úspěšnost našich klientů, lidí, akcionářů, partnerů i celé společnosti. Navštivte nás na </w:t>
      </w:r>
      <w:hyperlink r:id="rId9" w:tgtFrame="_blank" w:history="1">
        <w:r w:rsidRPr="00580DDA">
          <w:rPr>
            <w:rStyle w:val="Hypertextovodkaz"/>
          </w:rPr>
          <w:t>www.accenture.com</w:t>
        </w:r>
      </w:hyperlink>
    </w:p>
    <w:p w14:paraId="70DF0869" w14:textId="77777777" w:rsidR="00D66599" w:rsidRDefault="00D66599" w:rsidP="0098607C">
      <w:pPr>
        <w:pStyle w:val="Bezmezer"/>
        <w:spacing w:after="192"/>
      </w:pPr>
    </w:p>
    <w:p w14:paraId="37529596" w14:textId="77777777" w:rsidR="00D66599" w:rsidRPr="00A86815" w:rsidRDefault="00D66599" w:rsidP="00787C24">
      <w:pPr>
        <w:spacing w:before="120" w:after="192"/>
        <w:contextualSpacing/>
        <w:jc w:val="left"/>
        <w:sectPr w:rsidR="00D66599" w:rsidRPr="00A86815" w:rsidSect="00616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A736B">
        <w:rPr>
          <w:b/>
          <w:bCs/>
        </w:rPr>
        <w:t>Kontakt</w:t>
      </w:r>
      <w:r w:rsidRPr="00BA736B">
        <w:rPr>
          <w:b/>
        </w:rPr>
        <w:t xml:space="preserve">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6" w:history="1">
        <w:r w:rsidRPr="00BA736B">
          <w:rPr>
            <w:rStyle w:val="Hypertextovodkaz"/>
          </w:rPr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764175A1" w14:textId="77777777" w:rsidR="000663DE" w:rsidRPr="00BA736B" w:rsidRDefault="00D66599" w:rsidP="0098607C">
      <w:pPr>
        <w:pStyle w:val="Textkomente"/>
        <w:spacing w:after="192"/>
        <w:contextualSpacing/>
      </w:pPr>
      <w:r>
        <w:tab/>
      </w:r>
      <w:r>
        <w:tab/>
      </w:r>
      <w:r>
        <w:tab/>
        <w:t xml:space="preserve">Markéta Ciňková, </w:t>
      </w:r>
      <w:hyperlink r:id="rId17" w:history="1">
        <w:r w:rsidRPr="002A5EED">
          <w:rPr>
            <w:rStyle w:val="Hypertextovodkaz"/>
          </w:rPr>
          <w:t>marketa.cinkova@aspen.pr</w:t>
        </w:r>
      </w:hyperlink>
      <w:r>
        <w:t>, 724 012 612</w:t>
      </w:r>
    </w:p>
    <w:sectPr w:rsidR="000663DE" w:rsidRPr="00BA736B" w:rsidSect="003006BF">
      <w:headerReference w:type="default" r:id="rId18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8606" w14:textId="77777777" w:rsidR="00B56E62" w:rsidRDefault="00B56E6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CCB601F" w14:textId="77777777" w:rsidR="00B56E62" w:rsidRDefault="00B56E6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17B7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E947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8C16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7A53" w14:textId="77777777" w:rsidR="00B56E62" w:rsidRDefault="00B56E6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8C8F0E0" w14:textId="77777777" w:rsidR="00B56E62" w:rsidRDefault="00B56E62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8BD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16B5" w14:textId="77777777" w:rsidR="00D66599" w:rsidRDefault="00063148">
    <w:pPr>
      <w:pStyle w:val="Zhlav"/>
      <w:spacing w:after="192"/>
      <w:rPr>
        <w:rFonts w:ascii="Times New Roman" w:hAnsi="Times New Roman"/>
      </w:rPr>
    </w:pPr>
    <w:r>
      <w:rPr>
        <w:rFonts w:ascii="Times New Roman" w:hAnsi="Times New Roman"/>
        <w:snapToGrid/>
        <w:lang w:eastAsia="cs-CZ"/>
      </w:rPr>
      <w:drawing>
        <wp:inline distT="0" distB="0" distL="0" distR="0" wp14:anchorId="4B523873" wp14:editId="60372AF8">
          <wp:extent cx="1964055" cy="524510"/>
          <wp:effectExtent l="0" t="0" r="0" b="0"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B7D7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1229F3EA" w14:textId="77777777" w:rsidTr="00DF79C4">
      <w:trPr>
        <w:trHeight w:val="1979"/>
      </w:trPr>
      <w:tc>
        <w:tcPr>
          <w:tcW w:w="5973" w:type="dxa"/>
        </w:tcPr>
        <w:p w14:paraId="3DFBE721" w14:textId="77777777" w:rsidR="002132CC" w:rsidRDefault="00063148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rPr>
              <w:lang w:eastAsia="cs-CZ"/>
            </w:rPr>
            <w:drawing>
              <wp:anchor distT="0" distB="0" distL="114300" distR="114300" simplePos="0" relativeHeight="251657728" behindDoc="1" locked="0" layoutInCell="1" allowOverlap="1" wp14:anchorId="2C4C77A9" wp14:editId="3F785392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793"/>
                    <wp:lineTo x="0" y="21402"/>
                    <wp:lineTo x="21443" y="21402"/>
                    <wp:lineTo x="21443" y="793"/>
                    <wp:lineTo x="0" y="793"/>
                  </wp:wrapPolygon>
                </wp:wrapTight>
                <wp:docPr id="2" name="Obráz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03DEB748" w14:textId="77777777" w:rsidR="002132CC" w:rsidRPr="000663DE" w:rsidRDefault="002132CC" w:rsidP="000663DE">
          <w:pPr>
            <w:spacing w:after="192"/>
          </w:pPr>
        </w:p>
      </w:tc>
    </w:tr>
  </w:tbl>
  <w:p w14:paraId="6E7F18AB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12149"/>
    <w:multiLevelType w:val="hybridMultilevel"/>
    <w:tmpl w:val="68563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05E09"/>
    <w:multiLevelType w:val="hybridMultilevel"/>
    <w:tmpl w:val="702A6C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8"/>
  </w:num>
  <w:num w:numId="6">
    <w:abstractNumId w:val="15"/>
  </w:num>
  <w:num w:numId="7">
    <w:abstractNumId w:val="21"/>
  </w:num>
  <w:num w:numId="8">
    <w:abstractNumId w:val="2"/>
  </w:num>
  <w:num w:numId="9">
    <w:abstractNumId w:val="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19"/>
  </w:num>
  <w:num w:numId="15">
    <w:abstractNumId w:val="12"/>
  </w:num>
  <w:num w:numId="16">
    <w:abstractNumId w:val="20"/>
  </w:num>
  <w:num w:numId="17">
    <w:abstractNumId w:val="29"/>
  </w:num>
  <w:num w:numId="18">
    <w:abstractNumId w:val="22"/>
  </w:num>
  <w:num w:numId="19">
    <w:abstractNumId w:val="10"/>
  </w:num>
  <w:num w:numId="20">
    <w:abstractNumId w:val="4"/>
  </w:num>
  <w:num w:numId="21">
    <w:abstractNumId w:val="2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4"/>
  </w:num>
  <w:num w:numId="27">
    <w:abstractNumId w:val="14"/>
  </w:num>
  <w:num w:numId="28">
    <w:abstractNumId w:val="8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0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6037B"/>
    <w:rsid w:val="00061C08"/>
    <w:rsid w:val="00063148"/>
    <w:rsid w:val="000663DE"/>
    <w:rsid w:val="00066556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A05A5"/>
    <w:rsid w:val="000B475C"/>
    <w:rsid w:val="000C501B"/>
    <w:rsid w:val="000D1D63"/>
    <w:rsid w:val="000D3AC2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463BF"/>
    <w:rsid w:val="0014684C"/>
    <w:rsid w:val="001549CA"/>
    <w:rsid w:val="00174639"/>
    <w:rsid w:val="001803EE"/>
    <w:rsid w:val="00185E7C"/>
    <w:rsid w:val="001868DD"/>
    <w:rsid w:val="00186DB7"/>
    <w:rsid w:val="001915BE"/>
    <w:rsid w:val="001A061E"/>
    <w:rsid w:val="001B7A37"/>
    <w:rsid w:val="001C1C98"/>
    <w:rsid w:val="001C2741"/>
    <w:rsid w:val="001C41BE"/>
    <w:rsid w:val="001D7D32"/>
    <w:rsid w:val="001E0846"/>
    <w:rsid w:val="001E1A53"/>
    <w:rsid w:val="001E4305"/>
    <w:rsid w:val="001F0038"/>
    <w:rsid w:val="001F1272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759A0"/>
    <w:rsid w:val="002875E9"/>
    <w:rsid w:val="002A2892"/>
    <w:rsid w:val="002A2F3E"/>
    <w:rsid w:val="002B05E0"/>
    <w:rsid w:val="002B562E"/>
    <w:rsid w:val="002C0038"/>
    <w:rsid w:val="002C6262"/>
    <w:rsid w:val="002C67CC"/>
    <w:rsid w:val="002D122C"/>
    <w:rsid w:val="002E3B38"/>
    <w:rsid w:val="002F3064"/>
    <w:rsid w:val="002F468B"/>
    <w:rsid w:val="002F72C2"/>
    <w:rsid w:val="003006BF"/>
    <w:rsid w:val="003029A1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50DF8"/>
    <w:rsid w:val="00451765"/>
    <w:rsid w:val="00461978"/>
    <w:rsid w:val="00463E3F"/>
    <w:rsid w:val="00464C2F"/>
    <w:rsid w:val="00474BB9"/>
    <w:rsid w:val="0048653B"/>
    <w:rsid w:val="00494934"/>
    <w:rsid w:val="004A182B"/>
    <w:rsid w:val="004A3316"/>
    <w:rsid w:val="004B32A8"/>
    <w:rsid w:val="004B7512"/>
    <w:rsid w:val="004C2B93"/>
    <w:rsid w:val="004C7BDF"/>
    <w:rsid w:val="004C7E02"/>
    <w:rsid w:val="004D0C87"/>
    <w:rsid w:val="004D1B4A"/>
    <w:rsid w:val="004D32DB"/>
    <w:rsid w:val="004D4CFC"/>
    <w:rsid w:val="004D59C5"/>
    <w:rsid w:val="0050096E"/>
    <w:rsid w:val="005048FC"/>
    <w:rsid w:val="005157C3"/>
    <w:rsid w:val="0051648E"/>
    <w:rsid w:val="00517F75"/>
    <w:rsid w:val="00525E1D"/>
    <w:rsid w:val="0053282A"/>
    <w:rsid w:val="0053301D"/>
    <w:rsid w:val="00535CC6"/>
    <w:rsid w:val="0053678C"/>
    <w:rsid w:val="0054204E"/>
    <w:rsid w:val="005463D0"/>
    <w:rsid w:val="00566664"/>
    <w:rsid w:val="00571D4A"/>
    <w:rsid w:val="00577840"/>
    <w:rsid w:val="00580DDA"/>
    <w:rsid w:val="00581AC4"/>
    <w:rsid w:val="005823D5"/>
    <w:rsid w:val="0059263D"/>
    <w:rsid w:val="005972F0"/>
    <w:rsid w:val="005B4EDE"/>
    <w:rsid w:val="005B6153"/>
    <w:rsid w:val="005B676E"/>
    <w:rsid w:val="005B7052"/>
    <w:rsid w:val="005B735B"/>
    <w:rsid w:val="005C1E8F"/>
    <w:rsid w:val="005C36C0"/>
    <w:rsid w:val="005C41D9"/>
    <w:rsid w:val="005D0C03"/>
    <w:rsid w:val="005D2C8C"/>
    <w:rsid w:val="005D392B"/>
    <w:rsid w:val="005F1A03"/>
    <w:rsid w:val="005F44C8"/>
    <w:rsid w:val="0060368E"/>
    <w:rsid w:val="0060696E"/>
    <w:rsid w:val="00612A5C"/>
    <w:rsid w:val="00613425"/>
    <w:rsid w:val="00616E37"/>
    <w:rsid w:val="00633490"/>
    <w:rsid w:val="00640955"/>
    <w:rsid w:val="006500D7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39BB"/>
    <w:rsid w:val="00697FC6"/>
    <w:rsid w:val="006A4D8E"/>
    <w:rsid w:val="006B1794"/>
    <w:rsid w:val="006B2D54"/>
    <w:rsid w:val="006C3FF5"/>
    <w:rsid w:val="006D5A48"/>
    <w:rsid w:val="006E016B"/>
    <w:rsid w:val="006F5A47"/>
    <w:rsid w:val="0070216E"/>
    <w:rsid w:val="00703A3E"/>
    <w:rsid w:val="00713EFE"/>
    <w:rsid w:val="00720F46"/>
    <w:rsid w:val="00733672"/>
    <w:rsid w:val="00735825"/>
    <w:rsid w:val="00753340"/>
    <w:rsid w:val="007559FD"/>
    <w:rsid w:val="007660CC"/>
    <w:rsid w:val="00774F4D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D0D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2125D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517B"/>
    <w:rsid w:val="0088633E"/>
    <w:rsid w:val="00886E22"/>
    <w:rsid w:val="008922A1"/>
    <w:rsid w:val="008B513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17549"/>
    <w:rsid w:val="0092188C"/>
    <w:rsid w:val="00925253"/>
    <w:rsid w:val="00942A1F"/>
    <w:rsid w:val="009433AE"/>
    <w:rsid w:val="009513ED"/>
    <w:rsid w:val="00962A17"/>
    <w:rsid w:val="009634E3"/>
    <w:rsid w:val="0098309B"/>
    <w:rsid w:val="00984B5E"/>
    <w:rsid w:val="009853AF"/>
    <w:rsid w:val="0098607C"/>
    <w:rsid w:val="00992C20"/>
    <w:rsid w:val="00992F2A"/>
    <w:rsid w:val="0099792E"/>
    <w:rsid w:val="009B2629"/>
    <w:rsid w:val="009B6866"/>
    <w:rsid w:val="009C0BB4"/>
    <w:rsid w:val="009C3377"/>
    <w:rsid w:val="009D62C4"/>
    <w:rsid w:val="009E7511"/>
    <w:rsid w:val="00A126B8"/>
    <w:rsid w:val="00A156DA"/>
    <w:rsid w:val="00A16BDB"/>
    <w:rsid w:val="00A26E92"/>
    <w:rsid w:val="00A324B9"/>
    <w:rsid w:val="00A40D6C"/>
    <w:rsid w:val="00A42DC3"/>
    <w:rsid w:val="00A500AF"/>
    <w:rsid w:val="00A5296F"/>
    <w:rsid w:val="00A64B1C"/>
    <w:rsid w:val="00A67F1E"/>
    <w:rsid w:val="00A72EF6"/>
    <w:rsid w:val="00A77F31"/>
    <w:rsid w:val="00A81931"/>
    <w:rsid w:val="00AA3F5A"/>
    <w:rsid w:val="00AB787A"/>
    <w:rsid w:val="00AC014F"/>
    <w:rsid w:val="00AC2772"/>
    <w:rsid w:val="00AC5D48"/>
    <w:rsid w:val="00AD26A1"/>
    <w:rsid w:val="00AE3569"/>
    <w:rsid w:val="00AE56BF"/>
    <w:rsid w:val="00AE5B9B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5268D"/>
    <w:rsid w:val="00B55D2C"/>
    <w:rsid w:val="00B56E62"/>
    <w:rsid w:val="00B61B66"/>
    <w:rsid w:val="00B6279B"/>
    <w:rsid w:val="00B635F5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D733C"/>
    <w:rsid w:val="00BE1514"/>
    <w:rsid w:val="00BE45E8"/>
    <w:rsid w:val="00BE5C40"/>
    <w:rsid w:val="00BE736C"/>
    <w:rsid w:val="00BF0D15"/>
    <w:rsid w:val="00BF601A"/>
    <w:rsid w:val="00C01D9D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CB4"/>
    <w:rsid w:val="00C66B21"/>
    <w:rsid w:val="00C74039"/>
    <w:rsid w:val="00C75407"/>
    <w:rsid w:val="00C92F1B"/>
    <w:rsid w:val="00C9474C"/>
    <w:rsid w:val="00C95CE1"/>
    <w:rsid w:val="00CB3678"/>
    <w:rsid w:val="00CD22C0"/>
    <w:rsid w:val="00CF0D19"/>
    <w:rsid w:val="00CF39A6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66599"/>
    <w:rsid w:val="00D7041C"/>
    <w:rsid w:val="00D728F5"/>
    <w:rsid w:val="00D8609A"/>
    <w:rsid w:val="00D9262C"/>
    <w:rsid w:val="00D972CF"/>
    <w:rsid w:val="00DA4099"/>
    <w:rsid w:val="00DA43F0"/>
    <w:rsid w:val="00DB4591"/>
    <w:rsid w:val="00DB4FCA"/>
    <w:rsid w:val="00DC2EC6"/>
    <w:rsid w:val="00DC783D"/>
    <w:rsid w:val="00DD0DE2"/>
    <w:rsid w:val="00DE184B"/>
    <w:rsid w:val="00DE7ED9"/>
    <w:rsid w:val="00DF1791"/>
    <w:rsid w:val="00DF2792"/>
    <w:rsid w:val="00DF2D45"/>
    <w:rsid w:val="00DF44B3"/>
    <w:rsid w:val="00DF52DF"/>
    <w:rsid w:val="00DF79C4"/>
    <w:rsid w:val="00E01D5C"/>
    <w:rsid w:val="00E054D4"/>
    <w:rsid w:val="00E423B9"/>
    <w:rsid w:val="00E46C6E"/>
    <w:rsid w:val="00E54FF3"/>
    <w:rsid w:val="00E56E1A"/>
    <w:rsid w:val="00E6730B"/>
    <w:rsid w:val="00E74AF4"/>
    <w:rsid w:val="00E7675B"/>
    <w:rsid w:val="00E83541"/>
    <w:rsid w:val="00E86DF2"/>
    <w:rsid w:val="00E876C2"/>
    <w:rsid w:val="00EA4089"/>
    <w:rsid w:val="00EB4491"/>
    <w:rsid w:val="00EB5320"/>
    <w:rsid w:val="00EB7946"/>
    <w:rsid w:val="00EC0787"/>
    <w:rsid w:val="00EC1562"/>
    <w:rsid w:val="00EC6B04"/>
    <w:rsid w:val="00ED4253"/>
    <w:rsid w:val="00EE5E52"/>
    <w:rsid w:val="00EF673D"/>
    <w:rsid w:val="00EF75C4"/>
    <w:rsid w:val="00F1157B"/>
    <w:rsid w:val="00F1466E"/>
    <w:rsid w:val="00F328B5"/>
    <w:rsid w:val="00F3502B"/>
    <w:rsid w:val="00F35891"/>
    <w:rsid w:val="00F4033F"/>
    <w:rsid w:val="00F415D6"/>
    <w:rsid w:val="00F42506"/>
    <w:rsid w:val="00F564B7"/>
    <w:rsid w:val="00F61CF7"/>
    <w:rsid w:val="00F75E8B"/>
    <w:rsid w:val="00F8175D"/>
    <w:rsid w:val="00F81F5C"/>
    <w:rsid w:val="00F83032"/>
    <w:rsid w:val="00F85570"/>
    <w:rsid w:val="00F93159"/>
    <w:rsid w:val="00FA2A77"/>
    <w:rsid w:val="00FB20A1"/>
    <w:rsid w:val="00FB3DE8"/>
    <w:rsid w:val="00FC206B"/>
    <w:rsid w:val="00FC588F"/>
    <w:rsid w:val="00FC799E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1B148"/>
  <w15:chartTrackingRefBased/>
  <w15:docId w15:val="{5DB7FBEC-C1C3-4A33-853C-DF687D3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59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_acnmedia/PDF-155/Accenture-Reinventing-Europe-Industries.pdf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cinkova@aspen.p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jarkovsky@aspen.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Accenture_4_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F99B-067B-416E-9B50-C5FF20AD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Accenture_4_2021</Template>
  <TotalTime>2</TotalTime>
  <Pages>3</Pages>
  <Words>967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6664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 Lachoutová - ASPEN.PR</cp:lastModifiedBy>
  <cp:revision>2</cp:revision>
  <cp:lastPrinted>2004-08-03T08:51:00Z</cp:lastPrinted>
  <dcterms:created xsi:type="dcterms:W3CDTF">2021-06-21T20:44:00Z</dcterms:created>
  <dcterms:modified xsi:type="dcterms:W3CDTF">2021-06-21T20:44:00Z</dcterms:modified>
</cp:coreProperties>
</file>