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D699" w14:textId="77777777" w:rsidR="004C7BDF" w:rsidRDefault="004C7BDF" w:rsidP="00713EFE">
      <w:pPr>
        <w:pStyle w:val="Zkladntext"/>
        <w:spacing w:after="192"/>
        <w:jc w:val="left"/>
        <w:rPr>
          <w:sz w:val="28"/>
          <w:szCs w:val="28"/>
          <w:lang w:val="cs-CZ"/>
        </w:rPr>
      </w:pPr>
    </w:p>
    <w:p w14:paraId="002660EF" w14:textId="5A140D18" w:rsidR="002132CC" w:rsidRPr="00BA736B" w:rsidRDefault="002132CC" w:rsidP="00713EFE">
      <w:pPr>
        <w:pStyle w:val="Zkladntext"/>
        <w:spacing w:after="192"/>
        <w:jc w:val="left"/>
        <w:rPr>
          <w:sz w:val="28"/>
          <w:szCs w:val="28"/>
          <w:lang w:val="cs-CZ"/>
        </w:rPr>
      </w:pPr>
      <w:r w:rsidRPr="00BA736B">
        <w:rPr>
          <w:sz w:val="28"/>
          <w:szCs w:val="28"/>
          <w:lang w:val="cs-CZ"/>
        </w:rPr>
        <w:t xml:space="preserve">TISKOVÁ </w:t>
      </w:r>
      <w:r w:rsidR="009C316F">
        <w:rPr>
          <w:sz w:val="28"/>
          <w:szCs w:val="28"/>
          <w:lang w:val="cs-CZ"/>
        </w:rPr>
        <w:t>INFORMACE</w:t>
      </w:r>
      <w:r w:rsidRPr="00BA736B">
        <w:rPr>
          <w:sz w:val="28"/>
          <w:szCs w:val="28"/>
          <w:lang w:val="cs-CZ"/>
        </w:rPr>
        <w:tab/>
      </w:r>
      <w:r w:rsidRPr="00BA736B">
        <w:rPr>
          <w:sz w:val="28"/>
          <w:szCs w:val="28"/>
          <w:lang w:val="cs-CZ"/>
        </w:rPr>
        <w:tab/>
      </w:r>
      <w:r w:rsidRPr="00BA736B">
        <w:rPr>
          <w:sz w:val="28"/>
          <w:szCs w:val="28"/>
          <w:lang w:val="cs-CZ"/>
        </w:rPr>
        <w:tab/>
      </w:r>
      <w:r w:rsidRPr="00BA736B">
        <w:rPr>
          <w:sz w:val="28"/>
          <w:szCs w:val="28"/>
          <w:lang w:val="cs-CZ"/>
        </w:rPr>
        <w:tab/>
      </w:r>
      <w:r w:rsidRPr="00BA736B">
        <w:rPr>
          <w:sz w:val="28"/>
          <w:szCs w:val="28"/>
          <w:lang w:val="cs-CZ"/>
        </w:rPr>
        <w:tab/>
      </w:r>
      <w:r w:rsidRPr="00BA736B">
        <w:rPr>
          <w:sz w:val="28"/>
          <w:szCs w:val="28"/>
          <w:lang w:val="cs-CZ"/>
        </w:rPr>
        <w:tab/>
      </w:r>
      <w:r w:rsidR="00AF0FC0">
        <w:rPr>
          <w:sz w:val="28"/>
          <w:szCs w:val="28"/>
          <w:lang w:val="cs-CZ"/>
        </w:rPr>
        <w:t>01</w:t>
      </w:r>
      <w:r w:rsidR="0098607C">
        <w:rPr>
          <w:sz w:val="28"/>
          <w:szCs w:val="28"/>
          <w:lang w:val="cs-CZ"/>
        </w:rPr>
        <w:t xml:space="preserve">. </w:t>
      </w:r>
      <w:r w:rsidR="00AF0FC0">
        <w:rPr>
          <w:sz w:val="28"/>
          <w:szCs w:val="28"/>
          <w:lang w:val="cs-CZ"/>
        </w:rPr>
        <w:t>09</w:t>
      </w:r>
      <w:r w:rsidR="0098607C">
        <w:rPr>
          <w:sz w:val="28"/>
          <w:szCs w:val="28"/>
          <w:lang w:val="cs-CZ"/>
        </w:rPr>
        <w:t>. 202</w:t>
      </w:r>
      <w:r w:rsidR="005C36C0">
        <w:rPr>
          <w:sz w:val="28"/>
          <w:szCs w:val="28"/>
          <w:lang w:val="cs-CZ"/>
        </w:rPr>
        <w:t>1</w:t>
      </w:r>
    </w:p>
    <w:p w14:paraId="5B6170E3" w14:textId="77777777" w:rsidR="009C3377" w:rsidRPr="00BA736B" w:rsidRDefault="009C3377" w:rsidP="001376E7">
      <w:pPr>
        <w:pStyle w:val="Bezmezer"/>
        <w:spacing w:after="192"/>
      </w:pPr>
    </w:p>
    <w:p w14:paraId="443499EB" w14:textId="6F67BFE4" w:rsidR="002875E9" w:rsidRPr="002875E9" w:rsidRDefault="009C316F" w:rsidP="00713EFE">
      <w:pPr>
        <w:spacing w:before="280" w:after="19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2C2C26"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>užití cloudu stále roste. Je základem pro rozvoj dalších technologií jako BigData, internet věcí nebo aplikace rozšířené reality</w:t>
      </w:r>
    </w:p>
    <w:p w14:paraId="3101B25A" w14:textId="77777777" w:rsidR="002875E9" w:rsidRDefault="009C316F" w:rsidP="009C316F">
      <w:pPr>
        <w:numPr>
          <w:ilvl w:val="0"/>
          <w:numId w:val="30"/>
        </w:numPr>
        <w:spacing w:afterLines="60" w:after="144"/>
        <w:rPr>
          <w:b/>
          <w:bCs/>
        </w:rPr>
      </w:pPr>
      <w:r>
        <w:rPr>
          <w:b/>
          <w:bCs/>
        </w:rPr>
        <w:t>Cloud již využívají více než dvě třetiny firem</w:t>
      </w:r>
    </w:p>
    <w:p w14:paraId="2923E257" w14:textId="77777777" w:rsidR="009C316F" w:rsidRPr="002875E9" w:rsidRDefault="009C316F" w:rsidP="009C316F">
      <w:pPr>
        <w:numPr>
          <w:ilvl w:val="0"/>
          <w:numId w:val="30"/>
        </w:numPr>
        <w:spacing w:afterLines="60" w:after="144"/>
        <w:rPr>
          <w:b/>
          <w:bCs/>
        </w:rPr>
      </w:pPr>
      <w:r>
        <w:rPr>
          <w:b/>
          <w:bCs/>
        </w:rPr>
        <w:t>P</w:t>
      </w:r>
      <w:r w:rsidRPr="009C316F">
        <w:rPr>
          <w:b/>
          <w:bCs/>
        </w:rPr>
        <w:t>odle IDC by letos poptávka po cloudových službách měla vzrůst o dalších 30 %</w:t>
      </w:r>
    </w:p>
    <w:p w14:paraId="60AEED8F" w14:textId="77777777" w:rsidR="009C316F" w:rsidRPr="009C316F" w:rsidRDefault="009C316F" w:rsidP="009C316F">
      <w:pPr>
        <w:numPr>
          <w:ilvl w:val="0"/>
          <w:numId w:val="30"/>
        </w:numPr>
        <w:spacing w:afterLines="60" w:after="144"/>
        <w:rPr>
          <w:b/>
          <w:bCs/>
        </w:rPr>
      </w:pPr>
      <w:r w:rsidRPr="009C316F">
        <w:rPr>
          <w:b/>
          <w:bCs/>
        </w:rPr>
        <w:t xml:space="preserve">Cloud se stává také základem pro rozvoj dalších moderních technologií </w:t>
      </w:r>
      <w:r>
        <w:rPr>
          <w:b/>
          <w:bCs/>
        </w:rPr>
        <w:t xml:space="preserve">– </w:t>
      </w:r>
      <w:r w:rsidRPr="009C316F">
        <w:rPr>
          <w:b/>
          <w:bCs/>
        </w:rPr>
        <w:t xml:space="preserve">BigData, IoT, XR </w:t>
      </w:r>
    </w:p>
    <w:p w14:paraId="31DC6B81" w14:textId="77777777" w:rsidR="009C316F" w:rsidRDefault="009C316F" w:rsidP="009C316F">
      <w:pPr>
        <w:spacing w:afterLines="60" w:after="144"/>
      </w:pPr>
    </w:p>
    <w:p w14:paraId="7015048F" w14:textId="04B74746" w:rsidR="009C316F" w:rsidRPr="009C316F" w:rsidRDefault="009C316F" w:rsidP="009C316F">
      <w:pPr>
        <w:spacing w:afterLines="60" w:after="144"/>
      </w:pPr>
      <w:r w:rsidRPr="009C316F">
        <w:t xml:space="preserve">Cloud computing přestal být módním trendem, stal se samozřejmou součástí moderního technologického světa. Poptávka po cloudu každoročně výrazně roste a poroste i dále – podle předpovědi IDC by letos měla vzrůst o dalších 30 %. </w:t>
      </w:r>
      <w:r w:rsidR="007356E0">
        <w:t>Zájem o ně</w:t>
      </w:r>
      <w:r w:rsidR="001376E7">
        <w:t>j</w:t>
      </w:r>
      <w:r w:rsidR="007356E0">
        <w:t xml:space="preserve"> z</w:t>
      </w:r>
      <w:r w:rsidRPr="009C316F">
        <w:t>výšila jednak pandemická situace a</w:t>
      </w:r>
      <w:r w:rsidR="002C2C26">
        <w:t> </w:t>
      </w:r>
      <w:r w:rsidRPr="009C316F">
        <w:t>potřeb</w:t>
      </w:r>
      <w:r w:rsidR="002C2C26">
        <w:t>a</w:t>
      </w:r>
      <w:r w:rsidRPr="009C316F">
        <w:t xml:space="preserve"> rychlého přechodu na vzdálený přístup k datům a aplikacím, jednak snadný přístup k</w:t>
      </w:r>
      <w:r w:rsidR="002C2C26">
        <w:t> </w:t>
      </w:r>
      <w:r w:rsidRPr="009C316F">
        <w:t xml:space="preserve">pokročilým technologiím, </w:t>
      </w:r>
      <w:r w:rsidR="007356E0">
        <w:t>které jsou s cloudem spojené</w:t>
      </w:r>
      <w:r w:rsidRPr="009C316F">
        <w:t xml:space="preserve">. </w:t>
      </w:r>
    </w:p>
    <w:p w14:paraId="715CD3D6" w14:textId="5B0744DA" w:rsidR="00673ABD" w:rsidRPr="00673ABD" w:rsidRDefault="00673ABD" w:rsidP="00673ABD">
      <w:pPr>
        <w:spacing w:afterLines="60" w:after="144"/>
      </w:pPr>
      <w:r w:rsidRPr="00AF0FC0">
        <w:t>„</w:t>
      </w:r>
      <w:r w:rsidR="009C316F" w:rsidRPr="00AF0FC0">
        <w:t>Mnoho firem přitahovala efektivita, pružnost a inovativnost cloudu již dříve. Ale rok 2020 si zapamatujeme jako dobu, kdy si společnosti ze všech oborů a oblastí výrazně připomněly</w:t>
      </w:r>
      <w:r w:rsidR="007356E0" w:rsidRPr="00AF0FC0">
        <w:t xml:space="preserve">, jak je důležité mít své IT systémy připravené na rychlé změny. </w:t>
      </w:r>
      <w:r w:rsidR="00BE4F21" w:rsidRPr="00AF0FC0">
        <w:t>Ve výhodě byli najednou ti, kteří mohli těžit z</w:t>
      </w:r>
      <w:r w:rsidR="004E2B46">
        <w:t xml:space="preserve"> </w:t>
      </w:r>
      <w:r w:rsidR="009C316F" w:rsidRPr="00AF0FC0">
        <w:t xml:space="preserve">odolnosti, agility, adaptability a škálovatelnosti </w:t>
      </w:r>
      <w:r w:rsidR="00BE4F21" w:rsidRPr="00AF0FC0">
        <w:t xml:space="preserve">cloudových </w:t>
      </w:r>
      <w:r w:rsidR="009C316F" w:rsidRPr="00AF0FC0">
        <w:t>systémů</w:t>
      </w:r>
      <w:r w:rsidRPr="00AF0FC0">
        <w:t xml:space="preserve">,“ říká </w:t>
      </w:r>
      <w:r w:rsidR="00C13A91" w:rsidRPr="00AF0FC0">
        <w:t>Juraj Vaško, Infrastructure &amp; Engineering Lead Accenture ČR.</w:t>
      </w:r>
    </w:p>
    <w:p w14:paraId="1137BC8B" w14:textId="77777777" w:rsidR="009C316F" w:rsidRPr="009C316F" w:rsidRDefault="009C316F" w:rsidP="009C316F">
      <w:pPr>
        <w:spacing w:afterLines="60" w:after="144"/>
      </w:pPr>
    </w:p>
    <w:p w14:paraId="2248E775" w14:textId="78F26700" w:rsidR="009C316F" w:rsidRPr="009C316F" w:rsidRDefault="007356E0" w:rsidP="009C316F">
      <w:pPr>
        <w:spacing w:afterLines="60" w:after="144"/>
        <w:rPr>
          <w:b/>
          <w:bCs/>
        </w:rPr>
      </w:pPr>
      <w:r>
        <w:rPr>
          <w:b/>
          <w:bCs/>
        </w:rPr>
        <w:t>Rozhoduje s</w:t>
      </w:r>
      <w:r w:rsidR="009C316F" w:rsidRPr="009C316F">
        <w:rPr>
          <w:b/>
          <w:bCs/>
        </w:rPr>
        <w:t>chopnost využít možnosti cloudu</w:t>
      </w:r>
    </w:p>
    <w:p w14:paraId="61E42781" w14:textId="0F74BD7B" w:rsidR="009C316F" w:rsidRPr="009C316F" w:rsidRDefault="009C316F" w:rsidP="009C316F">
      <w:pPr>
        <w:spacing w:afterLines="60" w:after="144"/>
      </w:pPr>
      <w:r w:rsidRPr="009C316F">
        <w:t xml:space="preserve">Cloud ke své práci dnes používají více než dvě třetiny firem. </w:t>
      </w:r>
      <w:r w:rsidR="001376E7">
        <w:t>Vl</w:t>
      </w:r>
      <w:r w:rsidRPr="009C316F">
        <w:t>oni na jaře při koronavirové pandemii pomáhal s přechodem na práci z domova, teď zefektivňuje jejich každodenní chod – například pomáhá ke snadnějšímu a bezpečnějšímu sdílení souborů mezi zaměstnanci. S cloudem se setkáváme čím dál tím častěji</w:t>
      </w:r>
      <w:r w:rsidR="007356E0">
        <w:t xml:space="preserve"> a</w:t>
      </w:r>
      <w:r w:rsidRPr="009C316F">
        <w:t xml:space="preserve"> z uživatelského hlediska si už ani neuvědomujeme, zda námi využívané služby spadají do kategorie cloudových řešení nebo ne. Přesunují se do něj celé firemní CRM a ERP systémy, nebo je využívaný </w:t>
      </w:r>
      <w:r>
        <w:t xml:space="preserve">jen </w:t>
      </w:r>
      <w:r w:rsidRPr="009C316F">
        <w:t xml:space="preserve">pro některé činnosti, například správu a sdílení dat, finančních dokumentů a účetnictví, provoz náročných grafických aplikací a sdílení dokumentů z nich, </w:t>
      </w:r>
      <w:r w:rsidR="007356E0">
        <w:t>ukládání</w:t>
      </w:r>
      <w:r w:rsidR="007356E0" w:rsidRPr="009C316F">
        <w:t xml:space="preserve"> </w:t>
      </w:r>
      <w:r w:rsidRPr="009C316F">
        <w:t xml:space="preserve">a sdílení velkých multimediálních souborů. </w:t>
      </w:r>
    </w:p>
    <w:p w14:paraId="08CC5BF4" w14:textId="0F8027D0" w:rsidR="009C316F" w:rsidRPr="00673ABD" w:rsidRDefault="009C316F" w:rsidP="009C316F">
      <w:pPr>
        <w:spacing w:afterLines="60" w:after="144"/>
      </w:pPr>
      <w:r w:rsidRPr="009C316F">
        <w:t xml:space="preserve">„Přijetí cloudových </w:t>
      </w:r>
      <w:r w:rsidR="007356E0">
        <w:t>služeb</w:t>
      </w:r>
      <w:r w:rsidR="007356E0" w:rsidRPr="009C316F">
        <w:t xml:space="preserve"> </w:t>
      </w:r>
      <w:r w:rsidRPr="009C316F">
        <w:t xml:space="preserve">ve firmách už neblokuje klasický odpor k novinkám, stále častěji pohlíží na cloud jako na prostředek pro zvýšení </w:t>
      </w:r>
      <w:r w:rsidR="007C1AA5" w:rsidRPr="009C316F">
        <w:t>flexibi</w:t>
      </w:r>
      <w:r w:rsidR="007C1AA5">
        <w:t>ity</w:t>
      </w:r>
      <w:r w:rsidR="007C1AA5" w:rsidRPr="009C316F">
        <w:t xml:space="preserve"> </w:t>
      </w:r>
      <w:r w:rsidRPr="009C316F">
        <w:t>a snižování rizik. Odstranění nutnosti pořizovat vlastní servery a obecně posílení bezpečnosti a infrastruktury jsou další nejčastěji zmiňované výhody. I</w:t>
      </w:r>
      <w:r w:rsidR="002C2C26">
        <w:t> </w:t>
      </w:r>
      <w:r w:rsidRPr="009C316F">
        <w:t>cloudová řešení s sebou ale přinášejí rizika. K jejich zavedení ve firmě je třeba přistupovat střízlivě a</w:t>
      </w:r>
      <w:r>
        <w:t> </w:t>
      </w:r>
      <w:r w:rsidRPr="009C316F">
        <w:t>s</w:t>
      </w:r>
      <w:r w:rsidR="002C2C26">
        <w:t> </w:t>
      </w:r>
      <w:r w:rsidRPr="009C316F">
        <w:t>ohledem na konkrétní specifika. V reálu bohužel nedokáže mnoho společností uvolnit plný potenciál cloudových technologií</w:t>
      </w:r>
      <w:r w:rsidR="00AD105D">
        <w:t>,</w:t>
      </w:r>
      <w:r w:rsidRPr="009C316F">
        <w:t xml:space="preserve">“ říká k situaci </w:t>
      </w:r>
      <w:r w:rsidR="00673ABD" w:rsidRPr="00673ABD">
        <w:t>říká Ondřej Dědina, generální ředitel společnosti MIBCON.</w:t>
      </w:r>
    </w:p>
    <w:p w14:paraId="234F9474" w14:textId="201A0DF5" w:rsidR="001376E7" w:rsidRDefault="001376E7" w:rsidP="001376E7">
      <w:pPr>
        <w:pStyle w:val="Bezmezer"/>
        <w:spacing w:after="192"/>
      </w:pPr>
    </w:p>
    <w:p w14:paraId="6046EDAF" w14:textId="77777777" w:rsidR="001376E7" w:rsidRDefault="001376E7">
      <w:pPr>
        <w:spacing w:afterLines="0" w:after="0" w:line="240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6429633D" w14:textId="54F54438" w:rsidR="009C316F" w:rsidRPr="009C316F" w:rsidRDefault="00C935F4" w:rsidP="009C316F">
      <w:pPr>
        <w:spacing w:afterLines="60" w:after="144"/>
        <w:rPr>
          <w:b/>
          <w:bCs/>
        </w:rPr>
      </w:pPr>
      <w:r>
        <w:rPr>
          <w:b/>
          <w:bCs/>
        </w:rPr>
        <w:lastRenderedPageBreak/>
        <w:t>Cloud pracuje v pozadí</w:t>
      </w:r>
    </w:p>
    <w:p w14:paraId="0D6F897C" w14:textId="16192FBB" w:rsidR="00BE4F21" w:rsidRDefault="009C316F" w:rsidP="009C316F">
      <w:pPr>
        <w:spacing w:afterLines="60" w:after="144"/>
      </w:pPr>
      <w:r w:rsidRPr="009C316F">
        <w:t>V pracovním i</w:t>
      </w:r>
      <w:r>
        <w:t> </w:t>
      </w:r>
      <w:r w:rsidRPr="009C316F">
        <w:t>soukromém životě roste potřeba propojení</w:t>
      </w:r>
      <w:r w:rsidR="007C1AA5">
        <w:t>. V</w:t>
      </w:r>
      <w:r w:rsidRPr="009C316F">
        <w:t>yužíváme stále více zařízení připojených k</w:t>
      </w:r>
      <w:r w:rsidR="004E2B46">
        <w:t> </w:t>
      </w:r>
      <w:r w:rsidRPr="009C316F">
        <w:t>internetu a mezi sebou navzájem. </w:t>
      </w:r>
      <w:r w:rsidR="00BE4F21">
        <w:t xml:space="preserve">A </w:t>
      </w:r>
      <w:r w:rsidR="001A09BB">
        <w:t>v pozadí jsou často cloudové služby. Jejich š</w:t>
      </w:r>
      <w:r w:rsidR="00BE4F21">
        <w:t>irší</w:t>
      </w:r>
      <w:r w:rsidR="00BE4F21" w:rsidRPr="00BE4F21">
        <w:t xml:space="preserve"> přijetí podpořilo </w:t>
      </w:r>
      <w:r w:rsidR="00BE4F21">
        <w:t xml:space="preserve">například </w:t>
      </w:r>
      <w:r w:rsidR="00BE4F21" w:rsidRPr="00BE4F21">
        <w:t>rozvoj internetu věcí v mnoha odvětvích podnikání, kde může být vývoj IoT architektury na místě velmi nákladný</w:t>
      </w:r>
      <w:r w:rsidR="001A09BB">
        <w:t xml:space="preserve">. Ukládání dat z těchto sytémů </w:t>
      </w:r>
      <w:r w:rsidR="00BE4F21" w:rsidRPr="00BE4F21">
        <w:t>v cloudu umožní snížit náklady a má řadu další</w:t>
      </w:r>
      <w:r w:rsidR="001A09BB">
        <w:t>ch</w:t>
      </w:r>
      <w:r w:rsidR="00BE4F21" w:rsidRPr="00BE4F21">
        <w:t xml:space="preserve"> výhod</w:t>
      </w:r>
      <w:r w:rsidR="001A09BB">
        <w:t xml:space="preserve"> – kapacita úložiště je škálovatelná, k datům lze jednoduše přistupovat odkudkoli, dá se systémpvě řešit jejich zabezpečení. </w:t>
      </w:r>
    </w:p>
    <w:p w14:paraId="22D0F946" w14:textId="489D8E52" w:rsidR="009C316F" w:rsidRPr="009C316F" w:rsidRDefault="001A09BB" w:rsidP="009C316F">
      <w:pPr>
        <w:spacing w:afterLines="60" w:after="144"/>
      </w:pPr>
      <w:r>
        <w:t>Ale internetem věcí to nekončí. P</w:t>
      </w:r>
      <w:r w:rsidR="009C316F" w:rsidRPr="009C316F">
        <w:t xml:space="preserve">otřeba </w:t>
      </w:r>
      <w:r>
        <w:t xml:space="preserve">analyzovat data z propojených zařízení a určovat z nich </w:t>
      </w:r>
      <w:r w:rsidR="009C316F" w:rsidRPr="009C316F">
        <w:t xml:space="preserve">vzory a trendy </w:t>
      </w:r>
      <w:r>
        <w:t xml:space="preserve">vede k propojení </w:t>
      </w:r>
      <w:r w:rsidR="009C316F" w:rsidRPr="009C316F">
        <w:t>mezi IoT, Big Data a cloudem</w:t>
      </w:r>
      <w:r w:rsidR="00C935F4">
        <w:t>, které</w:t>
      </w:r>
      <w:r w:rsidR="009C316F" w:rsidRPr="009C316F">
        <w:t xml:space="preserve"> vytváří nové obchodní příležitosti. Jednoduše řečeno, IoT je zdroj dat, Big Data analytická platforma a cloud úložiště, u něhož je možné měnit velikost a na němž závisí rychlost přístupu.</w:t>
      </w:r>
    </w:p>
    <w:p w14:paraId="45F7AB4D" w14:textId="76BFFE52" w:rsidR="009C316F" w:rsidRPr="009C316F" w:rsidRDefault="009C316F" w:rsidP="009C316F">
      <w:pPr>
        <w:spacing w:afterLines="60" w:after="144"/>
      </w:pPr>
      <w:r w:rsidRPr="00AF0FC0">
        <w:t xml:space="preserve">V poslední době se také setkáváme s pojmem edge computing. Ten souvisí zejména s přenosem dat mezi centrálním cloudem a dalšími úložišti nebo zařízeními. „IoT zařízení nebo 5G síť podporující aplikace, které pracují s daty v reálném čase, vyžadují, aby byl výpočetní výkon co nejblíže místu, kde se data vytvářejí. To je důležité pro masivní využití IoT zařízení, rozvoj aplikací rozšířené reality, autonomních vozidel a dalších zařízení, ale i pokročilých technologií chránících soukromí. Edge computing a jeho „edge“ zařízení snižují latenci a zpracovávají data na okraji sítě. A to je důvod toho, proč je edge computing budoucnost cloudu,“ </w:t>
      </w:r>
      <w:r w:rsidR="00AD105D" w:rsidRPr="00AF0FC0">
        <w:t>vysvětluje</w:t>
      </w:r>
      <w:r w:rsidRPr="00AF0FC0">
        <w:t xml:space="preserve"> Juraj Vaško</w:t>
      </w:r>
      <w:r w:rsidR="00C13A91" w:rsidRPr="00AF0FC0">
        <w:t xml:space="preserve"> z Accenture.</w:t>
      </w:r>
      <w:r w:rsidRPr="009C316F">
        <w:t xml:space="preserve"> </w:t>
      </w:r>
    </w:p>
    <w:p w14:paraId="1A9DE68C" w14:textId="77777777" w:rsidR="001376E7" w:rsidRDefault="001376E7" w:rsidP="001376E7">
      <w:pPr>
        <w:spacing w:after="192"/>
        <w:rPr>
          <w:b/>
          <w:bCs/>
          <w:noProof w:val="0"/>
        </w:rPr>
      </w:pPr>
    </w:p>
    <w:p w14:paraId="0A72AF97" w14:textId="77777777" w:rsidR="001376E7" w:rsidRDefault="001376E7" w:rsidP="001376E7">
      <w:pPr>
        <w:spacing w:after="192"/>
        <w:rPr>
          <w:b/>
          <w:bCs/>
          <w:noProof w:val="0"/>
        </w:rPr>
      </w:pPr>
    </w:p>
    <w:p w14:paraId="0B1FC5DE" w14:textId="36A24660" w:rsidR="001376E7" w:rsidRPr="00B6409F" w:rsidRDefault="001376E7" w:rsidP="001376E7">
      <w:pPr>
        <w:spacing w:after="192"/>
        <w:rPr>
          <w:noProof w:val="0"/>
        </w:rPr>
      </w:pPr>
      <w:r w:rsidRPr="00B6409F">
        <w:rPr>
          <w:b/>
          <w:bCs/>
          <w:noProof w:val="0"/>
        </w:rPr>
        <w:t xml:space="preserve">O společnosti </w:t>
      </w:r>
      <w:proofErr w:type="spellStart"/>
      <w:r w:rsidRPr="00B6409F">
        <w:rPr>
          <w:b/>
          <w:bCs/>
          <w:noProof w:val="0"/>
        </w:rPr>
        <w:t>Accenture</w:t>
      </w:r>
      <w:proofErr w:type="spellEnd"/>
    </w:p>
    <w:p w14:paraId="5CF68D52" w14:textId="77777777" w:rsidR="001376E7" w:rsidRPr="00B6409F" w:rsidRDefault="001376E7" w:rsidP="001376E7">
      <w:pPr>
        <w:spacing w:after="192"/>
        <w:rPr>
          <w:noProof w:val="0"/>
          <w:color w:val="0000FF"/>
          <w:u w:val="single"/>
        </w:rPr>
      </w:pPr>
      <w:proofErr w:type="spellStart"/>
      <w:r w:rsidRPr="00B6409F">
        <w:rPr>
          <w:noProof w:val="0"/>
        </w:rPr>
        <w:t>Accenture</w:t>
      </w:r>
      <w:proofErr w:type="spellEnd"/>
      <w:r w:rsidRPr="00B6409F">
        <w:rPr>
          <w:noProof w:val="0"/>
        </w:rPr>
        <w:t xml:space="preserve"> je globální společnost poskytující profesionální služby v oblasti digitalizace, cloudu a kybernetické bezpečnosti. Díky propojení zkušeností a specializovaných dovedností ve více než 40 průmyslových odvětvích nabízíme služby v oblastech poradenství &amp; strategie, </w:t>
      </w:r>
      <w:proofErr w:type="spellStart"/>
      <w:r w:rsidRPr="00B6409F">
        <w:rPr>
          <w:noProof w:val="0"/>
        </w:rPr>
        <w:t>Interactive</w:t>
      </w:r>
      <w:proofErr w:type="spellEnd"/>
      <w:r w:rsidRPr="00B6409F">
        <w:rPr>
          <w:noProof w:val="0"/>
        </w:rPr>
        <w:t xml:space="preserve">, Technology a </w:t>
      </w:r>
      <w:proofErr w:type="spellStart"/>
      <w:r w:rsidRPr="00B6409F">
        <w:rPr>
          <w:noProof w:val="0"/>
        </w:rPr>
        <w:t>Operations</w:t>
      </w:r>
      <w:proofErr w:type="spellEnd"/>
      <w:r w:rsidRPr="00B6409F">
        <w:rPr>
          <w:noProof w:val="0"/>
        </w:rPr>
        <w:t xml:space="preserve"> – a to díky podpoře největší celosvětové sítě </w:t>
      </w:r>
      <w:proofErr w:type="spellStart"/>
      <w:r w:rsidRPr="00B6409F">
        <w:rPr>
          <w:noProof w:val="0"/>
        </w:rPr>
        <w:t>Advanced</w:t>
      </w:r>
      <w:proofErr w:type="spellEnd"/>
      <w:r w:rsidRPr="00B6409F">
        <w:rPr>
          <w:noProof w:val="0"/>
        </w:rPr>
        <w:t xml:space="preserve"> Technology a </w:t>
      </w:r>
      <w:proofErr w:type="spellStart"/>
      <w:r w:rsidRPr="00B6409F">
        <w:rPr>
          <w:noProof w:val="0"/>
        </w:rPr>
        <w:t>Intelligent</w:t>
      </w:r>
      <w:proofErr w:type="spellEnd"/>
      <w:r w:rsidRPr="00B6409F">
        <w:rPr>
          <w:noProof w:val="0"/>
        </w:rPr>
        <w:t xml:space="preserve"> </w:t>
      </w:r>
      <w:proofErr w:type="spellStart"/>
      <w:r w:rsidRPr="00B6409F">
        <w:rPr>
          <w:noProof w:val="0"/>
        </w:rPr>
        <w:t>Operations</w:t>
      </w:r>
      <w:proofErr w:type="spellEnd"/>
      <w:r w:rsidRPr="00B6409F">
        <w:rPr>
          <w:noProof w:val="0"/>
        </w:rPr>
        <w:t xml:space="preserve"> center. Našich 567</w:t>
      </w:r>
      <w:r>
        <w:rPr>
          <w:noProof w:val="0"/>
        </w:rPr>
        <w:t xml:space="preserve"> </w:t>
      </w:r>
      <w:r w:rsidRPr="00B6409F">
        <w:rPr>
          <w:noProof w:val="0"/>
        </w:rPr>
        <w:t>000 zaměstnanců využívá možnosti nejnovějších technologií i lidské vynalézavosti v práci pro klienty ve více než 120 zemích. Díky síle změn vytváříme hodnoty a zvyšujeme úspěšnost našich klientů, lidí, akcionářů, partnerů i celé společnosti. Navštivte nás na </w:t>
      </w:r>
      <w:hyperlink r:id="rId8" w:tgtFrame="_blank" w:history="1">
        <w:r w:rsidRPr="00B6409F">
          <w:rPr>
            <w:rStyle w:val="Hypertextovodkaz"/>
            <w:noProof w:val="0"/>
          </w:rPr>
          <w:t>www.accenture.com</w:t>
        </w:r>
      </w:hyperlink>
      <w:r w:rsidRPr="00B6409F">
        <w:t xml:space="preserve"> nebo</w:t>
      </w:r>
      <w:r>
        <w:rPr>
          <w:rStyle w:val="Hypertextovodkaz"/>
          <w:noProof w:val="0"/>
        </w:rPr>
        <w:t xml:space="preserve"> </w:t>
      </w:r>
      <w:hyperlink r:id="rId9" w:history="1">
        <w:r w:rsidRPr="00B6409F">
          <w:rPr>
            <w:rStyle w:val="Hypertextovodkaz"/>
            <w:noProof w:val="0"/>
          </w:rPr>
          <w:t>https://www.accenture.com/cz-en/about/company/newsroom</w:t>
        </w:r>
      </w:hyperlink>
      <w:r>
        <w:rPr>
          <w:noProof w:val="0"/>
          <w:color w:val="0000FF"/>
          <w:u w:val="single"/>
        </w:rPr>
        <w:t>.</w:t>
      </w:r>
    </w:p>
    <w:p w14:paraId="79985B0D" w14:textId="77777777" w:rsidR="001376E7" w:rsidRPr="00B6409F" w:rsidRDefault="001376E7" w:rsidP="001376E7">
      <w:pPr>
        <w:pStyle w:val="Bezmezer"/>
        <w:spacing w:after="192"/>
        <w:rPr>
          <w:noProof w:val="0"/>
        </w:rPr>
      </w:pPr>
    </w:p>
    <w:p w14:paraId="64EA00E0" w14:textId="77777777" w:rsidR="001376E7" w:rsidRPr="00B6409F" w:rsidRDefault="001376E7" w:rsidP="001376E7">
      <w:pPr>
        <w:pStyle w:val="Textkomente"/>
        <w:spacing w:after="192" w:line="240" w:lineRule="auto"/>
        <w:contextualSpacing/>
        <w:rPr>
          <w:noProof w:val="0"/>
        </w:rPr>
      </w:pPr>
      <w:r w:rsidRPr="00B6409F">
        <w:rPr>
          <w:b/>
          <w:bCs/>
          <w:noProof w:val="0"/>
        </w:rPr>
        <w:t>Kontakt</w:t>
      </w:r>
      <w:r w:rsidRPr="00B6409F">
        <w:rPr>
          <w:b/>
          <w:noProof w:val="0"/>
        </w:rPr>
        <w:t xml:space="preserve"> pro média:</w:t>
      </w:r>
      <w:r w:rsidRPr="00B6409F">
        <w:rPr>
          <w:noProof w:val="0"/>
        </w:rPr>
        <w:t xml:space="preserve"> </w:t>
      </w:r>
      <w:r w:rsidRPr="00B6409F">
        <w:rPr>
          <w:noProof w:val="0"/>
        </w:rPr>
        <w:tab/>
      </w:r>
      <w:r>
        <w:rPr>
          <w:noProof w:val="0"/>
        </w:rPr>
        <w:t xml:space="preserve">Lukáš Vejnar, </w:t>
      </w:r>
      <w:hyperlink r:id="rId10" w:history="1">
        <w:r>
          <w:rPr>
            <w:rStyle w:val="Hypertextovodkaz"/>
            <w:lang w:val="en-US"/>
          </w:rPr>
          <w:t>lukas.vejnar@accenture.com</w:t>
        </w:r>
      </w:hyperlink>
      <w:r>
        <w:rPr>
          <w:lang w:val="en-US"/>
        </w:rPr>
        <w:t xml:space="preserve">, </w:t>
      </w:r>
      <w:r w:rsidRPr="000561A0">
        <w:t>605</w:t>
      </w:r>
      <w:r>
        <w:t> </w:t>
      </w:r>
      <w:r w:rsidRPr="000561A0">
        <w:t>067</w:t>
      </w:r>
      <w:r>
        <w:t> </w:t>
      </w:r>
      <w:r w:rsidRPr="000561A0">
        <w:t>979</w:t>
      </w:r>
    </w:p>
    <w:p w14:paraId="003074A9" w14:textId="77777777" w:rsidR="001376E7" w:rsidRPr="00B6409F" w:rsidRDefault="001376E7" w:rsidP="001376E7">
      <w:pPr>
        <w:spacing w:before="120" w:after="192" w:line="240" w:lineRule="auto"/>
        <w:ind w:left="1440" w:firstLine="720"/>
        <w:contextualSpacing/>
        <w:jc w:val="left"/>
        <w:rPr>
          <w:noProof w:val="0"/>
        </w:rPr>
        <w:sectPr w:rsidR="001376E7" w:rsidRPr="00B6409F" w:rsidSect="00616E3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/>
          <w:pgMar w:top="1701" w:right="1418" w:bottom="1418" w:left="1418" w:header="709" w:footer="709" w:gutter="0"/>
          <w:cols w:space="708"/>
        </w:sectPr>
      </w:pPr>
      <w:r w:rsidRPr="00B6409F">
        <w:rPr>
          <w:noProof w:val="0"/>
        </w:rPr>
        <w:t xml:space="preserve">Petr Jarkovský, </w:t>
      </w:r>
      <w:hyperlink r:id="rId17" w:history="1">
        <w:r w:rsidRPr="00B6409F">
          <w:rPr>
            <w:rStyle w:val="Hypertextovodkaz"/>
            <w:noProof w:val="0"/>
          </w:rPr>
          <w:t>petr.jarkovsky@aspen.pr</w:t>
        </w:r>
      </w:hyperlink>
      <w:r w:rsidRPr="00B6409F">
        <w:rPr>
          <w:noProof w:val="0"/>
        </w:rPr>
        <w:t>, 774 225 153</w:t>
      </w:r>
    </w:p>
    <w:p w14:paraId="5DF81E5B" w14:textId="79CFC3C1" w:rsidR="001376E7" w:rsidRDefault="001376E7" w:rsidP="001376E7">
      <w:pPr>
        <w:pStyle w:val="Textkomente"/>
        <w:spacing w:after="192"/>
        <w:contextualSpacing/>
        <w:rPr>
          <w:noProof w:val="0"/>
        </w:rPr>
      </w:pPr>
      <w:r w:rsidRPr="00B6409F">
        <w:rPr>
          <w:noProof w:val="0"/>
        </w:rPr>
        <w:tab/>
      </w:r>
      <w:r w:rsidRPr="00B6409F">
        <w:rPr>
          <w:noProof w:val="0"/>
        </w:rPr>
        <w:tab/>
      </w:r>
      <w:r w:rsidRPr="00B6409F">
        <w:rPr>
          <w:noProof w:val="0"/>
        </w:rPr>
        <w:tab/>
        <w:t xml:space="preserve">Markéta Ciňková, </w:t>
      </w:r>
      <w:hyperlink r:id="rId18" w:history="1">
        <w:r w:rsidRPr="00B6409F">
          <w:rPr>
            <w:rStyle w:val="Hypertextovodkaz"/>
            <w:noProof w:val="0"/>
          </w:rPr>
          <w:t>marketa.cinkova@aspen.pr</w:t>
        </w:r>
      </w:hyperlink>
      <w:r w:rsidRPr="00B6409F">
        <w:rPr>
          <w:noProof w:val="0"/>
        </w:rPr>
        <w:t>, 724 012</w:t>
      </w:r>
      <w:r>
        <w:rPr>
          <w:noProof w:val="0"/>
        </w:rPr>
        <w:t> </w:t>
      </w:r>
      <w:r w:rsidRPr="00B6409F">
        <w:rPr>
          <w:noProof w:val="0"/>
        </w:rPr>
        <w:t>612</w:t>
      </w:r>
    </w:p>
    <w:sectPr w:rsidR="001376E7" w:rsidSect="003006BF">
      <w:headerReference w:type="default" r:id="rId19"/>
      <w:type w:val="continuous"/>
      <w:pgSz w:w="11907" w:h="16840"/>
      <w:pgMar w:top="170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49921" w14:textId="77777777" w:rsidR="00FC5FC1" w:rsidRDefault="00FC5FC1">
      <w:pPr>
        <w:spacing w:after="192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22ADE17B" w14:textId="77777777" w:rsidR="00FC5FC1" w:rsidRDefault="00FC5FC1">
      <w:pPr>
        <w:spacing w:after="192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9514" w14:textId="77777777" w:rsidR="001376E7" w:rsidRDefault="001376E7">
    <w:pPr>
      <w:pStyle w:val="Zpat"/>
      <w:spacing w:after="19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1817" w14:textId="77777777" w:rsidR="001376E7" w:rsidRDefault="001376E7">
    <w:pPr>
      <w:pStyle w:val="Zpat"/>
      <w:spacing w:after="19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031F" w14:textId="77777777" w:rsidR="001376E7" w:rsidRDefault="001376E7">
    <w:pPr>
      <w:pStyle w:val="Zpat"/>
      <w:spacing w:after="1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5CFE6" w14:textId="77777777" w:rsidR="00FC5FC1" w:rsidRDefault="00FC5FC1">
      <w:pPr>
        <w:spacing w:after="192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3A28FD0E" w14:textId="77777777" w:rsidR="00FC5FC1" w:rsidRDefault="00FC5FC1">
      <w:pPr>
        <w:spacing w:after="192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D39C" w14:textId="77777777" w:rsidR="001376E7" w:rsidRDefault="001376E7">
    <w:pPr>
      <w:pStyle w:val="Zhlav"/>
      <w:spacing w:after="19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F424" w14:textId="77777777" w:rsidR="001376E7" w:rsidRDefault="001376E7">
    <w:pPr>
      <w:pStyle w:val="Zhlav"/>
      <w:spacing w:after="192"/>
      <w:rPr>
        <w:rFonts w:ascii="Times New Roman" w:hAnsi="Times New Roman"/>
      </w:rPr>
    </w:pPr>
    <w:r>
      <w:rPr>
        <w:rFonts w:ascii="Times New Roman" w:hAnsi="Times New Roman"/>
        <w:snapToGrid/>
        <w:lang w:eastAsia="cs-CZ"/>
      </w:rPr>
      <w:drawing>
        <wp:inline distT="0" distB="0" distL="0" distR="0" wp14:anchorId="096D4CEB" wp14:editId="412C7D68">
          <wp:extent cx="1955800" cy="524510"/>
          <wp:effectExtent l="0" t="0" r="0" b="0"/>
          <wp:docPr id="4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D676" w14:textId="77777777" w:rsidR="001376E7" w:rsidRDefault="001376E7">
    <w:pPr>
      <w:pStyle w:val="Zhlav"/>
      <w:spacing w:after="19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43" w:type="dxa"/>
      <w:tblBorders>
        <w:top w:val="dotted" w:sz="4" w:space="0" w:color="FFFFFF"/>
        <w:left w:val="dotted" w:sz="4" w:space="0" w:color="FFFFFF"/>
        <w:bottom w:val="dotted" w:sz="4" w:space="0" w:color="FFFFFF"/>
        <w:right w:val="dotted" w:sz="4" w:space="0" w:color="FFFFFF"/>
        <w:insideV w:val="dotted" w:sz="4" w:space="0" w:color="FFFFFF"/>
      </w:tblBorders>
      <w:tblLayout w:type="fixed"/>
      <w:tblLook w:val="0000" w:firstRow="0" w:lastRow="0" w:firstColumn="0" w:lastColumn="0" w:noHBand="0" w:noVBand="0"/>
    </w:tblPr>
    <w:tblGrid>
      <w:gridCol w:w="5973"/>
      <w:gridCol w:w="4870"/>
    </w:tblGrid>
    <w:tr w:rsidR="002132CC" w14:paraId="46053E37" w14:textId="77777777" w:rsidTr="00DF79C4">
      <w:trPr>
        <w:trHeight w:val="1979"/>
      </w:trPr>
      <w:tc>
        <w:tcPr>
          <w:tcW w:w="5973" w:type="dxa"/>
        </w:tcPr>
        <w:p w14:paraId="2EF1AB5D" w14:textId="7BEE509F" w:rsidR="002132CC" w:rsidRDefault="00254716">
          <w:pPr>
            <w:pStyle w:val="Zhlav"/>
            <w:spacing w:before="60" w:after="192"/>
            <w:rPr>
              <w:rFonts w:ascii="Times New Roman" w:hAnsi="Times New Roman"/>
            </w:rPr>
          </w:pPr>
          <w:r>
            <w:drawing>
              <wp:anchor distT="0" distB="0" distL="114300" distR="114300" simplePos="0" relativeHeight="251657728" behindDoc="1" locked="0" layoutInCell="1" allowOverlap="1" wp14:anchorId="10648D36" wp14:editId="1C86D6E2">
                <wp:simplePos x="0" y="0"/>
                <wp:positionH relativeFrom="column">
                  <wp:posOffset>-2463165</wp:posOffset>
                </wp:positionH>
                <wp:positionV relativeFrom="paragraph">
                  <wp:posOffset>635</wp:posOffset>
                </wp:positionV>
                <wp:extent cx="2187575" cy="1038225"/>
                <wp:effectExtent l="0" t="0" r="0" b="0"/>
                <wp:wrapTight wrapText="bothSides">
                  <wp:wrapPolygon edited="0">
                    <wp:start x="0" y="396"/>
                    <wp:lineTo x="0" y="21402"/>
                    <wp:lineTo x="21443" y="21402"/>
                    <wp:lineTo x="21443" y="396"/>
                    <wp:lineTo x="0" y="396"/>
                  </wp:wrapPolygon>
                </wp:wrapTight>
                <wp:docPr id="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68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5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70" w:type="dxa"/>
        </w:tcPr>
        <w:p w14:paraId="0847D00D" w14:textId="77777777" w:rsidR="002132CC" w:rsidRPr="000663DE" w:rsidRDefault="002132CC" w:rsidP="000663DE">
          <w:pPr>
            <w:spacing w:after="192"/>
          </w:pPr>
        </w:p>
      </w:tc>
    </w:tr>
  </w:tbl>
  <w:p w14:paraId="5230A65C" w14:textId="77777777" w:rsidR="002132CC" w:rsidRDefault="002132CC">
    <w:pPr>
      <w:pStyle w:val="Zhlav"/>
      <w:spacing w:after="192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8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B5C7C89"/>
    <w:multiLevelType w:val="hybridMultilevel"/>
    <w:tmpl w:val="D6AC0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C9437FF"/>
    <w:multiLevelType w:val="hybridMultilevel"/>
    <w:tmpl w:val="0DD2990E"/>
    <w:lvl w:ilvl="0" w:tplc="FB7C63C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D9C5ADB"/>
    <w:multiLevelType w:val="hybridMultilevel"/>
    <w:tmpl w:val="315E28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E1202E0"/>
    <w:multiLevelType w:val="hybridMultilevel"/>
    <w:tmpl w:val="17B848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5901E4"/>
    <w:multiLevelType w:val="hybridMultilevel"/>
    <w:tmpl w:val="21762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C202BBE"/>
    <w:multiLevelType w:val="hybridMultilevel"/>
    <w:tmpl w:val="86143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EE5719"/>
    <w:multiLevelType w:val="hybridMultilevel"/>
    <w:tmpl w:val="3266E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0BA7E2B"/>
    <w:multiLevelType w:val="hybridMultilevel"/>
    <w:tmpl w:val="F8DCC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3335C"/>
    <w:multiLevelType w:val="hybridMultilevel"/>
    <w:tmpl w:val="C6482AFA"/>
    <w:lvl w:ilvl="0" w:tplc="B65C9F1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47F91"/>
    <w:multiLevelType w:val="hybridMultilevel"/>
    <w:tmpl w:val="6E4CC458"/>
    <w:lvl w:ilvl="0" w:tplc="E708D6E4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6715195"/>
    <w:multiLevelType w:val="hybridMultilevel"/>
    <w:tmpl w:val="0E1E1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73235F5"/>
    <w:multiLevelType w:val="hybridMultilevel"/>
    <w:tmpl w:val="7A3E3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426F4EC9"/>
    <w:multiLevelType w:val="hybridMultilevel"/>
    <w:tmpl w:val="A1DAAB3E"/>
    <w:lvl w:ilvl="0" w:tplc="C83ACB8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F29D8"/>
    <w:multiLevelType w:val="hybridMultilevel"/>
    <w:tmpl w:val="14045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487579BC"/>
    <w:multiLevelType w:val="hybridMultilevel"/>
    <w:tmpl w:val="5B82F634"/>
    <w:lvl w:ilvl="0" w:tplc="E31679F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7794E"/>
    <w:multiLevelType w:val="hybridMultilevel"/>
    <w:tmpl w:val="CD3C2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3673F3B"/>
    <w:multiLevelType w:val="hybridMultilevel"/>
    <w:tmpl w:val="0AF6C7FE"/>
    <w:lvl w:ilvl="0" w:tplc="E708D6E4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6439383B"/>
    <w:multiLevelType w:val="hybridMultilevel"/>
    <w:tmpl w:val="CEEE00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C52C16"/>
    <w:multiLevelType w:val="hybridMultilevel"/>
    <w:tmpl w:val="A91896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DB27CB"/>
    <w:multiLevelType w:val="hybridMultilevel"/>
    <w:tmpl w:val="9D541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6D9F4862"/>
    <w:multiLevelType w:val="hybridMultilevel"/>
    <w:tmpl w:val="21482852"/>
    <w:lvl w:ilvl="0" w:tplc="C83ACB8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B114E"/>
    <w:multiLevelType w:val="hybridMultilevel"/>
    <w:tmpl w:val="9E9C4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72A14917"/>
    <w:multiLevelType w:val="hybridMultilevel"/>
    <w:tmpl w:val="8E70FA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9C1B8C"/>
    <w:multiLevelType w:val="hybridMultilevel"/>
    <w:tmpl w:val="7FEE4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34846"/>
    <w:multiLevelType w:val="hybridMultilevel"/>
    <w:tmpl w:val="BEF07810"/>
    <w:lvl w:ilvl="0" w:tplc="DFB60D2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7A2541D3"/>
    <w:multiLevelType w:val="multilevel"/>
    <w:tmpl w:val="DC46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27" w15:restartNumberingAfterBreak="0">
    <w:nsid w:val="7BC51731"/>
    <w:multiLevelType w:val="hybridMultilevel"/>
    <w:tmpl w:val="D1EAA5C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7E792F41"/>
    <w:multiLevelType w:val="hybridMultilevel"/>
    <w:tmpl w:val="EC50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7EAB47C8"/>
    <w:multiLevelType w:val="hybridMultilevel"/>
    <w:tmpl w:val="F238E1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6"/>
  </w:num>
  <w:num w:numId="5">
    <w:abstractNumId w:val="28"/>
  </w:num>
  <w:num w:numId="6">
    <w:abstractNumId w:val="16"/>
  </w:num>
  <w:num w:numId="7">
    <w:abstractNumId w:val="22"/>
  </w:num>
  <w:num w:numId="8">
    <w:abstractNumId w:val="2"/>
  </w:num>
  <w:num w:numId="9">
    <w:abstractNumId w:val="7"/>
  </w:num>
  <w:num w:numId="10">
    <w:abstractNumId w:val="10"/>
  </w:num>
  <w:num w:numId="11">
    <w:abstractNumId w:val="17"/>
  </w:num>
  <w:num w:numId="12">
    <w:abstractNumId w:val="3"/>
  </w:num>
  <w:num w:numId="13">
    <w:abstractNumId w:val="14"/>
  </w:num>
  <w:num w:numId="14">
    <w:abstractNumId w:val="20"/>
  </w:num>
  <w:num w:numId="15">
    <w:abstractNumId w:val="13"/>
  </w:num>
  <w:num w:numId="16">
    <w:abstractNumId w:val="21"/>
  </w:num>
  <w:num w:numId="17">
    <w:abstractNumId w:val="29"/>
  </w:num>
  <w:num w:numId="18">
    <w:abstractNumId w:val="23"/>
  </w:num>
  <w:num w:numId="19">
    <w:abstractNumId w:val="11"/>
  </w:num>
  <w:num w:numId="20">
    <w:abstractNumId w:val="5"/>
  </w:num>
  <w:num w:numId="21">
    <w:abstractNumId w:val="25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4"/>
  </w:num>
  <w:num w:numId="27">
    <w:abstractNumId w:val="15"/>
  </w:num>
  <w:num w:numId="28">
    <w:abstractNumId w:val="9"/>
  </w:num>
  <w:num w:numId="29">
    <w:abstractNumId w:val="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16"/>
    <w:rsid w:val="00005A52"/>
    <w:rsid w:val="0001016D"/>
    <w:rsid w:val="000119F8"/>
    <w:rsid w:val="000122DE"/>
    <w:rsid w:val="00026482"/>
    <w:rsid w:val="00034A97"/>
    <w:rsid w:val="00034DB3"/>
    <w:rsid w:val="000375AA"/>
    <w:rsid w:val="0004309F"/>
    <w:rsid w:val="0005224D"/>
    <w:rsid w:val="000527AC"/>
    <w:rsid w:val="00061C08"/>
    <w:rsid w:val="000663DE"/>
    <w:rsid w:val="00066556"/>
    <w:rsid w:val="0006690C"/>
    <w:rsid w:val="000708F2"/>
    <w:rsid w:val="00070907"/>
    <w:rsid w:val="00073E74"/>
    <w:rsid w:val="000774D4"/>
    <w:rsid w:val="0007787D"/>
    <w:rsid w:val="000821E4"/>
    <w:rsid w:val="000846E5"/>
    <w:rsid w:val="00092DFC"/>
    <w:rsid w:val="00092F45"/>
    <w:rsid w:val="000A05A5"/>
    <w:rsid w:val="000B475C"/>
    <w:rsid w:val="000C501B"/>
    <w:rsid w:val="000D1D63"/>
    <w:rsid w:val="000D3AC2"/>
    <w:rsid w:val="000E3AD3"/>
    <w:rsid w:val="000E3F65"/>
    <w:rsid w:val="000F3931"/>
    <w:rsid w:val="000F7D6A"/>
    <w:rsid w:val="00100DCD"/>
    <w:rsid w:val="00107B0D"/>
    <w:rsid w:val="00125401"/>
    <w:rsid w:val="00125943"/>
    <w:rsid w:val="00125AEE"/>
    <w:rsid w:val="001376E7"/>
    <w:rsid w:val="00145A25"/>
    <w:rsid w:val="001463BF"/>
    <w:rsid w:val="0014684C"/>
    <w:rsid w:val="001549CA"/>
    <w:rsid w:val="00174639"/>
    <w:rsid w:val="001803EE"/>
    <w:rsid w:val="00185E7C"/>
    <w:rsid w:val="001868DD"/>
    <w:rsid w:val="00186DB7"/>
    <w:rsid w:val="001915BE"/>
    <w:rsid w:val="001A061E"/>
    <w:rsid w:val="001A09BB"/>
    <w:rsid w:val="001B7A37"/>
    <w:rsid w:val="001C1C98"/>
    <w:rsid w:val="001C2741"/>
    <w:rsid w:val="001C41BE"/>
    <w:rsid w:val="001D7D32"/>
    <w:rsid w:val="001E0846"/>
    <w:rsid w:val="001E1A53"/>
    <w:rsid w:val="001E4305"/>
    <w:rsid w:val="001F0038"/>
    <w:rsid w:val="001F30F1"/>
    <w:rsid w:val="001F5441"/>
    <w:rsid w:val="00210AFE"/>
    <w:rsid w:val="00210B93"/>
    <w:rsid w:val="00212994"/>
    <w:rsid w:val="002132CC"/>
    <w:rsid w:val="00223E1A"/>
    <w:rsid w:val="00224586"/>
    <w:rsid w:val="00231C89"/>
    <w:rsid w:val="00234D4D"/>
    <w:rsid w:val="0024187D"/>
    <w:rsid w:val="00254716"/>
    <w:rsid w:val="002759A0"/>
    <w:rsid w:val="002875E9"/>
    <w:rsid w:val="002A2892"/>
    <w:rsid w:val="002A2F3E"/>
    <w:rsid w:val="002B05E0"/>
    <w:rsid w:val="002B562E"/>
    <w:rsid w:val="002C0038"/>
    <w:rsid w:val="002C2C26"/>
    <w:rsid w:val="002C67CC"/>
    <w:rsid w:val="002D122C"/>
    <w:rsid w:val="002E3B38"/>
    <w:rsid w:val="002F3064"/>
    <w:rsid w:val="002F468B"/>
    <w:rsid w:val="002F72C2"/>
    <w:rsid w:val="003006BF"/>
    <w:rsid w:val="003029A1"/>
    <w:rsid w:val="00310085"/>
    <w:rsid w:val="003108FE"/>
    <w:rsid w:val="00313724"/>
    <w:rsid w:val="00314ECB"/>
    <w:rsid w:val="0031614D"/>
    <w:rsid w:val="00316355"/>
    <w:rsid w:val="003166C8"/>
    <w:rsid w:val="00327977"/>
    <w:rsid w:val="003310F4"/>
    <w:rsid w:val="0034134C"/>
    <w:rsid w:val="0034259A"/>
    <w:rsid w:val="0034282F"/>
    <w:rsid w:val="00343AB3"/>
    <w:rsid w:val="003519C9"/>
    <w:rsid w:val="003651F5"/>
    <w:rsid w:val="003804FD"/>
    <w:rsid w:val="00382303"/>
    <w:rsid w:val="00382DA7"/>
    <w:rsid w:val="003932D0"/>
    <w:rsid w:val="003958FD"/>
    <w:rsid w:val="003A4094"/>
    <w:rsid w:val="003B5DB7"/>
    <w:rsid w:val="003B78DA"/>
    <w:rsid w:val="003C1F9B"/>
    <w:rsid w:val="003C4A8A"/>
    <w:rsid w:val="003D19ED"/>
    <w:rsid w:val="003D4AE2"/>
    <w:rsid w:val="003E3ECB"/>
    <w:rsid w:val="003E49DC"/>
    <w:rsid w:val="003F14A7"/>
    <w:rsid w:val="003F6640"/>
    <w:rsid w:val="00410E19"/>
    <w:rsid w:val="0041445E"/>
    <w:rsid w:val="00415B38"/>
    <w:rsid w:val="004212F7"/>
    <w:rsid w:val="004245A2"/>
    <w:rsid w:val="00433E7D"/>
    <w:rsid w:val="00440F40"/>
    <w:rsid w:val="00442272"/>
    <w:rsid w:val="0044248F"/>
    <w:rsid w:val="00450DF8"/>
    <w:rsid w:val="00451765"/>
    <w:rsid w:val="00456B4D"/>
    <w:rsid w:val="00461978"/>
    <w:rsid w:val="00463E3F"/>
    <w:rsid w:val="00464C2F"/>
    <w:rsid w:val="00474BB9"/>
    <w:rsid w:val="0048653B"/>
    <w:rsid w:val="00494934"/>
    <w:rsid w:val="004A182B"/>
    <w:rsid w:val="004A3316"/>
    <w:rsid w:val="004B32A8"/>
    <w:rsid w:val="004B6071"/>
    <w:rsid w:val="004B7512"/>
    <w:rsid w:val="004C2B93"/>
    <w:rsid w:val="004C7BDF"/>
    <w:rsid w:val="004C7E02"/>
    <w:rsid w:val="004D02B0"/>
    <w:rsid w:val="004D0C87"/>
    <w:rsid w:val="004D32DB"/>
    <w:rsid w:val="004D59C5"/>
    <w:rsid w:val="004E2B46"/>
    <w:rsid w:val="0050096E"/>
    <w:rsid w:val="005048FC"/>
    <w:rsid w:val="005157C3"/>
    <w:rsid w:val="0051648E"/>
    <w:rsid w:val="00517F75"/>
    <w:rsid w:val="00525E1D"/>
    <w:rsid w:val="0053282A"/>
    <w:rsid w:val="0053301D"/>
    <w:rsid w:val="0053678C"/>
    <w:rsid w:val="0054204E"/>
    <w:rsid w:val="005463D0"/>
    <w:rsid w:val="00566664"/>
    <w:rsid w:val="00571D4A"/>
    <w:rsid w:val="00577840"/>
    <w:rsid w:val="00580DDA"/>
    <w:rsid w:val="00581AC4"/>
    <w:rsid w:val="005823D5"/>
    <w:rsid w:val="0059263D"/>
    <w:rsid w:val="005B4EDE"/>
    <w:rsid w:val="005B6153"/>
    <w:rsid w:val="005B676E"/>
    <w:rsid w:val="005B7052"/>
    <w:rsid w:val="005B735B"/>
    <w:rsid w:val="005C1E8F"/>
    <w:rsid w:val="005C36C0"/>
    <w:rsid w:val="005C41D9"/>
    <w:rsid w:val="005D0C03"/>
    <w:rsid w:val="005D2C8C"/>
    <w:rsid w:val="005D392B"/>
    <w:rsid w:val="005F44C8"/>
    <w:rsid w:val="0060368E"/>
    <w:rsid w:val="0060696E"/>
    <w:rsid w:val="00612A5C"/>
    <w:rsid w:val="00613425"/>
    <w:rsid w:val="00616E37"/>
    <w:rsid w:val="00633490"/>
    <w:rsid w:val="00640955"/>
    <w:rsid w:val="006500D7"/>
    <w:rsid w:val="00651CD6"/>
    <w:rsid w:val="00655342"/>
    <w:rsid w:val="00660900"/>
    <w:rsid w:val="00661103"/>
    <w:rsid w:val="00662A0F"/>
    <w:rsid w:val="00666AF1"/>
    <w:rsid w:val="00667751"/>
    <w:rsid w:val="00672CDB"/>
    <w:rsid w:val="00673ABD"/>
    <w:rsid w:val="00674553"/>
    <w:rsid w:val="00681E6B"/>
    <w:rsid w:val="006839BB"/>
    <w:rsid w:val="00697FC6"/>
    <w:rsid w:val="006A4D8E"/>
    <w:rsid w:val="006B2D54"/>
    <w:rsid w:val="006C3FF5"/>
    <w:rsid w:val="006D5A48"/>
    <w:rsid w:val="006E016B"/>
    <w:rsid w:val="006F5A47"/>
    <w:rsid w:val="0070216E"/>
    <w:rsid w:val="00703A3E"/>
    <w:rsid w:val="00713EFE"/>
    <w:rsid w:val="00720F46"/>
    <w:rsid w:val="00733672"/>
    <w:rsid w:val="007356E0"/>
    <w:rsid w:val="00735825"/>
    <w:rsid w:val="00753340"/>
    <w:rsid w:val="007559FD"/>
    <w:rsid w:val="007660CC"/>
    <w:rsid w:val="00776D8D"/>
    <w:rsid w:val="00777E73"/>
    <w:rsid w:val="0078187E"/>
    <w:rsid w:val="00782104"/>
    <w:rsid w:val="007847DF"/>
    <w:rsid w:val="00787C24"/>
    <w:rsid w:val="0079136B"/>
    <w:rsid w:val="0079153C"/>
    <w:rsid w:val="007A4AFF"/>
    <w:rsid w:val="007A590A"/>
    <w:rsid w:val="007B3C66"/>
    <w:rsid w:val="007B7C38"/>
    <w:rsid w:val="007C0D0D"/>
    <w:rsid w:val="007C1AA5"/>
    <w:rsid w:val="007D08D1"/>
    <w:rsid w:val="007D4188"/>
    <w:rsid w:val="007D4FAF"/>
    <w:rsid w:val="007E0077"/>
    <w:rsid w:val="007E25B9"/>
    <w:rsid w:val="007F419B"/>
    <w:rsid w:val="007F5F45"/>
    <w:rsid w:val="007F6515"/>
    <w:rsid w:val="00801E50"/>
    <w:rsid w:val="008020A7"/>
    <w:rsid w:val="00810E14"/>
    <w:rsid w:val="00817D7A"/>
    <w:rsid w:val="008442AF"/>
    <w:rsid w:val="00844D44"/>
    <w:rsid w:val="008457D0"/>
    <w:rsid w:val="00846865"/>
    <w:rsid w:val="00847987"/>
    <w:rsid w:val="008549F4"/>
    <w:rsid w:val="00854BFC"/>
    <w:rsid w:val="008564D7"/>
    <w:rsid w:val="00865EC3"/>
    <w:rsid w:val="008665FF"/>
    <w:rsid w:val="0087244F"/>
    <w:rsid w:val="00876AC6"/>
    <w:rsid w:val="0088517B"/>
    <w:rsid w:val="0088633E"/>
    <w:rsid w:val="008922A1"/>
    <w:rsid w:val="008B64FA"/>
    <w:rsid w:val="008C34B3"/>
    <w:rsid w:val="008C398E"/>
    <w:rsid w:val="008C3B28"/>
    <w:rsid w:val="008D0B84"/>
    <w:rsid w:val="008D12FA"/>
    <w:rsid w:val="008D461D"/>
    <w:rsid w:val="008E1EA2"/>
    <w:rsid w:val="008E4B4C"/>
    <w:rsid w:val="008E61FD"/>
    <w:rsid w:val="008F3660"/>
    <w:rsid w:val="0090115E"/>
    <w:rsid w:val="0090612B"/>
    <w:rsid w:val="00917549"/>
    <w:rsid w:val="0092188C"/>
    <w:rsid w:val="00925253"/>
    <w:rsid w:val="00942A1F"/>
    <w:rsid w:val="009433AE"/>
    <w:rsid w:val="00962A17"/>
    <w:rsid w:val="00984B5E"/>
    <w:rsid w:val="009853AF"/>
    <w:rsid w:val="0098607C"/>
    <w:rsid w:val="00992C20"/>
    <w:rsid w:val="00992F2A"/>
    <w:rsid w:val="0099792E"/>
    <w:rsid w:val="009B2629"/>
    <w:rsid w:val="009C0BB4"/>
    <w:rsid w:val="009C316F"/>
    <w:rsid w:val="009C3377"/>
    <w:rsid w:val="009D3EC8"/>
    <w:rsid w:val="009D62C4"/>
    <w:rsid w:val="009E7511"/>
    <w:rsid w:val="00A126B8"/>
    <w:rsid w:val="00A156DA"/>
    <w:rsid w:val="00A16BDB"/>
    <w:rsid w:val="00A26E92"/>
    <w:rsid w:val="00A324B9"/>
    <w:rsid w:val="00A40D6C"/>
    <w:rsid w:val="00A42DC3"/>
    <w:rsid w:val="00A500AF"/>
    <w:rsid w:val="00A523D4"/>
    <w:rsid w:val="00A5296F"/>
    <w:rsid w:val="00A67F1E"/>
    <w:rsid w:val="00A72EF6"/>
    <w:rsid w:val="00A77F31"/>
    <w:rsid w:val="00A81931"/>
    <w:rsid w:val="00AA3F5A"/>
    <w:rsid w:val="00AB787A"/>
    <w:rsid w:val="00AC014F"/>
    <w:rsid w:val="00AC2772"/>
    <w:rsid w:val="00AC5D48"/>
    <w:rsid w:val="00AD105D"/>
    <w:rsid w:val="00AD26A1"/>
    <w:rsid w:val="00AE3569"/>
    <w:rsid w:val="00AE56BF"/>
    <w:rsid w:val="00AE5B9B"/>
    <w:rsid w:val="00AF0FC0"/>
    <w:rsid w:val="00AF5768"/>
    <w:rsid w:val="00AF6DFA"/>
    <w:rsid w:val="00B034D1"/>
    <w:rsid w:val="00B156D9"/>
    <w:rsid w:val="00B16B80"/>
    <w:rsid w:val="00B220C4"/>
    <w:rsid w:val="00B24D4A"/>
    <w:rsid w:val="00B254C3"/>
    <w:rsid w:val="00B26524"/>
    <w:rsid w:val="00B3064F"/>
    <w:rsid w:val="00B30F2A"/>
    <w:rsid w:val="00B327C2"/>
    <w:rsid w:val="00B33559"/>
    <w:rsid w:val="00B35830"/>
    <w:rsid w:val="00B3702C"/>
    <w:rsid w:val="00B454F4"/>
    <w:rsid w:val="00B5268D"/>
    <w:rsid w:val="00B55D2C"/>
    <w:rsid w:val="00B61B66"/>
    <w:rsid w:val="00B6279B"/>
    <w:rsid w:val="00B635F5"/>
    <w:rsid w:val="00B64E24"/>
    <w:rsid w:val="00B66465"/>
    <w:rsid w:val="00B67253"/>
    <w:rsid w:val="00B8300B"/>
    <w:rsid w:val="00B83B8B"/>
    <w:rsid w:val="00B86B7C"/>
    <w:rsid w:val="00B950E9"/>
    <w:rsid w:val="00B97EE2"/>
    <w:rsid w:val="00BA09C0"/>
    <w:rsid w:val="00BA736B"/>
    <w:rsid w:val="00BA7F99"/>
    <w:rsid w:val="00BC4303"/>
    <w:rsid w:val="00BD733C"/>
    <w:rsid w:val="00BE1514"/>
    <w:rsid w:val="00BE45E8"/>
    <w:rsid w:val="00BE4F21"/>
    <w:rsid w:val="00BE5C40"/>
    <w:rsid w:val="00BE736C"/>
    <w:rsid w:val="00BF0D15"/>
    <w:rsid w:val="00BF601A"/>
    <w:rsid w:val="00C06C21"/>
    <w:rsid w:val="00C13A91"/>
    <w:rsid w:val="00C2195A"/>
    <w:rsid w:val="00C23C1A"/>
    <w:rsid w:val="00C2439B"/>
    <w:rsid w:val="00C3042F"/>
    <w:rsid w:val="00C31A52"/>
    <w:rsid w:val="00C33173"/>
    <w:rsid w:val="00C3508F"/>
    <w:rsid w:val="00C35658"/>
    <w:rsid w:val="00C41C41"/>
    <w:rsid w:val="00C42F7B"/>
    <w:rsid w:val="00C53CB4"/>
    <w:rsid w:val="00C66B21"/>
    <w:rsid w:val="00C75407"/>
    <w:rsid w:val="00C92F1B"/>
    <w:rsid w:val="00C935F4"/>
    <w:rsid w:val="00C95CE1"/>
    <w:rsid w:val="00CA2B1E"/>
    <w:rsid w:val="00CD22C0"/>
    <w:rsid w:val="00CF0D19"/>
    <w:rsid w:val="00CF39A6"/>
    <w:rsid w:val="00D04F98"/>
    <w:rsid w:val="00D12BB8"/>
    <w:rsid w:val="00D14097"/>
    <w:rsid w:val="00D14EFE"/>
    <w:rsid w:val="00D16390"/>
    <w:rsid w:val="00D20C8E"/>
    <w:rsid w:val="00D20D75"/>
    <w:rsid w:val="00D212BE"/>
    <w:rsid w:val="00D21A9E"/>
    <w:rsid w:val="00D23060"/>
    <w:rsid w:val="00D26B4A"/>
    <w:rsid w:val="00D309D6"/>
    <w:rsid w:val="00D32054"/>
    <w:rsid w:val="00D33F68"/>
    <w:rsid w:val="00D41588"/>
    <w:rsid w:val="00D44611"/>
    <w:rsid w:val="00D66599"/>
    <w:rsid w:val="00D728F5"/>
    <w:rsid w:val="00D8609A"/>
    <w:rsid w:val="00D87E99"/>
    <w:rsid w:val="00D9262C"/>
    <w:rsid w:val="00D972CF"/>
    <w:rsid w:val="00DA4099"/>
    <w:rsid w:val="00DA43F0"/>
    <w:rsid w:val="00DB4591"/>
    <w:rsid w:val="00DB4FCA"/>
    <w:rsid w:val="00DC2EC6"/>
    <w:rsid w:val="00DC597E"/>
    <w:rsid w:val="00DC783D"/>
    <w:rsid w:val="00DD0DE2"/>
    <w:rsid w:val="00DE184B"/>
    <w:rsid w:val="00DE2514"/>
    <w:rsid w:val="00DE7ED9"/>
    <w:rsid w:val="00DF1791"/>
    <w:rsid w:val="00DF2792"/>
    <w:rsid w:val="00DF2D45"/>
    <w:rsid w:val="00DF44B3"/>
    <w:rsid w:val="00DF79C4"/>
    <w:rsid w:val="00E01D5C"/>
    <w:rsid w:val="00E054D4"/>
    <w:rsid w:val="00E423B9"/>
    <w:rsid w:val="00E46C6E"/>
    <w:rsid w:val="00E54FF3"/>
    <w:rsid w:val="00E56E1A"/>
    <w:rsid w:val="00E6730B"/>
    <w:rsid w:val="00E74AF4"/>
    <w:rsid w:val="00E7675B"/>
    <w:rsid w:val="00E83541"/>
    <w:rsid w:val="00E876C2"/>
    <w:rsid w:val="00E94CAD"/>
    <w:rsid w:val="00EA4089"/>
    <w:rsid w:val="00EB4491"/>
    <w:rsid w:val="00EB5320"/>
    <w:rsid w:val="00EB7946"/>
    <w:rsid w:val="00EC0787"/>
    <w:rsid w:val="00ED4253"/>
    <w:rsid w:val="00EE5E52"/>
    <w:rsid w:val="00EE6EA1"/>
    <w:rsid w:val="00EF673D"/>
    <w:rsid w:val="00EF75C4"/>
    <w:rsid w:val="00F1157B"/>
    <w:rsid w:val="00F1466E"/>
    <w:rsid w:val="00F328B5"/>
    <w:rsid w:val="00F3502B"/>
    <w:rsid w:val="00F35891"/>
    <w:rsid w:val="00F4033F"/>
    <w:rsid w:val="00F415D6"/>
    <w:rsid w:val="00F564B7"/>
    <w:rsid w:val="00F61CF7"/>
    <w:rsid w:val="00F75E8B"/>
    <w:rsid w:val="00F8175D"/>
    <w:rsid w:val="00F81F5C"/>
    <w:rsid w:val="00F83032"/>
    <w:rsid w:val="00F85570"/>
    <w:rsid w:val="00FA2A77"/>
    <w:rsid w:val="00FB20A1"/>
    <w:rsid w:val="00FB3DE8"/>
    <w:rsid w:val="00FC206B"/>
    <w:rsid w:val="00FC588F"/>
    <w:rsid w:val="00FC5FC1"/>
    <w:rsid w:val="00FC799E"/>
    <w:rsid w:val="00FD7F97"/>
    <w:rsid w:val="00FE21DA"/>
    <w:rsid w:val="00FF2D97"/>
    <w:rsid w:val="00FF3930"/>
    <w:rsid w:val="00FF512A"/>
    <w:rsid w:val="00FF54C5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24A35C"/>
  <w15:chartTrackingRefBased/>
  <w15:docId w15:val="{9B4999AC-CE90-458A-8386-8F6DBCD6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1E50"/>
    <w:pPr>
      <w:spacing w:afterLines="80" w:after="80" w:line="300" w:lineRule="auto"/>
      <w:jc w:val="both"/>
    </w:pPr>
    <w:rPr>
      <w:rFonts w:ascii="Arial" w:hAnsi="Arial" w:cs="Arial"/>
      <w:noProof/>
      <w:snapToGrid w:val="0"/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bCs/>
      <w:kern w:val="28"/>
      <w:sz w:val="28"/>
      <w:szCs w:val="28"/>
      <w:lang w:val="sk-SK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spacing w:line="240" w:lineRule="atLeast"/>
      <w:outlineLvl w:val="2"/>
    </w:pPr>
    <w:rPr>
      <w:b/>
      <w:bCs/>
      <w:color w:val="000000"/>
      <w:lang w:val="en-GB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4"/>
      <w:szCs w:val="24"/>
      <w:lang w:val="en-GB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153"/>
        <w:tab w:val="right" w:pos="8306"/>
      </w:tabs>
    </w:p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</w:pPr>
  </w:style>
  <w:style w:type="paragraph" w:customStyle="1" w:styleId="ABLOCKPARA">
    <w:name w:val="A BLOCK PARA"/>
    <w:basedOn w:val="Normln"/>
    <w:rPr>
      <w:lang w:val="sk-SK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">
    <w:name w:val="Body Text"/>
    <w:basedOn w:val="Normln"/>
    <w:semiHidden/>
    <w:rPr>
      <w:lang w:val="sk-SK"/>
    </w:rPr>
  </w:style>
  <w:style w:type="paragraph" w:customStyle="1" w:styleId="FormtovanvHTML1">
    <w:name w:val="Formátovaný v HTML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imes New Roman" w:hAnsi="Times New Roman"/>
    </w:rPr>
  </w:style>
  <w:style w:type="paragraph" w:styleId="Zkladntextodsazen">
    <w:name w:val="Body Text Indent"/>
    <w:basedOn w:val="Normln"/>
    <w:semiHidden/>
    <w:rPr>
      <w:rFonts w:ascii="Times New Roman" w:hAnsi="Times New Roman"/>
      <w:sz w:val="24"/>
      <w:szCs w:val="24"/>
    </w:rPr>
  </w:style>
  <w:style w:type="character" w:customStyle="1" w:styleId="bod1">
    <w:name w:val="bod1"/>
    <w:rPr>
      <w:rFonts w:ascii="Arial" w:hAnsi="Arial" w:cs="Arial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18"/>
      <w:szCs w:val="18"/>
      <w:lang w:val="en-GB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Textbubliny1">
    <w:name w:val="Text bubliny1"/>
    <w:basedOn w:val="Normln"/>
    <w:rPr>
      <w:rFonts w:ascii="Times New Roman" w:hAnsi="Times New Roman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</w:style>
  <w:style w:type="paragraph" w:customStyle="1" w:styleId="Pedmtkomente1">
    <w:name w:val="Předmět komentáře1"/>
    <w:basedOn w:val="Textkomente"/>
    <w:next w:val="Textkomente"/>
    <w:rPr>
      <w:b/>
      <w:bCs/>
    </w:rPr>
  </w:style>
  <w:style w:type="paragraph" w:styleId="Prosttext">
    <w:name w:val="Plain Text"/>
    <w:basedOn w:val="Normln"/>
    <w:semiHidden/>
    <w:rPr>
      <w:rFonts w:ascii="Courier New" w:hAnsi="Courier New" w:cs="Courier New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Odstavecseseznamem1">
    <w:name w:val="Odstavec se seznamem1"/>
    <w:basedOn w:val="Normln"/>
    <w:pPr>
      <w:spacing w:after="200" w:line="276" w:lineRule="auto"/>
      <w:ind w:left="720"/>
    </w:pPr>
    <w:rPr>
      <w:rFonts w:ascii="Calibri" w:hAnsi="Calibri"/>
    </w:rPr>
  </w:style>
  <w:style w:type="paragraph" w:customStyle="1" w:styleId="COVNormal">
    <w:name w:val="COV_Normal"/>
    <w:basedOn w:val="Normln"/>
    <w:pPr>
      <w:spacing w:before="120" w:after="120"/>
      <w:ind w:left="2279"/>
    </w:pPr>
  </w:style>
  <w:style w:type="paragraph" w:customStyle="1" w:styleId="default">
    <w:name w:val="default"/>
    <w:basedOn w:val="Normln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E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56E1A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0F40"/>
    <w:rPr>
      <w:b/>
      <w:bCs/>
    </w:rPr>
  </w:style>
  <w:style w:type="character" w:customStyle="1" w:styleId="TextkomenteChar">
    <w:name w:val="Text komentáře Char"/>
    <w:link w:val="Textkomente"/>
    <w:uiPriority w:val="99"/>
    <w:rsid w:val="00440F40"/>
    <w:rPr>
      <w:rFonts w:ascii="Book Antiqua" w:hAnsi="Book Antiqua"/>
      <w:snapToGrid w:val="0"/>
      <w:lang w:val="en-US" w:eastAsia="en-US"/>
    </w:rPr>
  </w:style>
  <w:style w:type="character" w:customStyle="1" w:styleId="PedmtkomenteChar">
    <w:name w:val="Předmět komentáře Char"/>
    <w:link w:val="Pedmtkomente"/>
    <w:rsid w:val="00440F40"/>
    <w:rPr>
      <w:rFonts w:ascii="Book Antiqua" w:hAnsi="Book Antiqua"/>
      <w:snapToGrid w:val="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B83B8B"/>
    <w:pPr>
      <w:ind w:left="720"/>
      <w:contextualSpacing/>
    </w:pPr>
  </w:style>
  <w:style w:type="paragraph" w:styleId="Revize">
    <w:name w:val="Revision"/>
    <w:hidden/>
    <w:uiPriority w:val="99"/>
    <w:semiHidden/>
    <w:rsid w:val="007660CC"/>
    <w:rPr>
      <w:rFonts w:ascii="Book Antiqua" w:hAnsi="Book Antiqua"/>
      <w:snapToGrid w:val="0"/>
      <w:sz w:val="22"/>
      <w:szCs w:val="22"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DB3"/>
    <w:rPr>
      <w:rFonts w:ascii="Calibri" w:eastAsia="Calibri" w:hAnsi="Calibri"/>
      <w:snapToGrid/>
      <w:lang w:eastAsia="en-GB"/>
    </w:rPr>
  </w:style>
  <w:style w:type="character" w:customStyle="1" w:styleId="TextpoznpodarouChar">
    <w:name w:val="Text pozn. pod čarou Char"/>
    <w:link w:val="Textpoznpodarou"/>
    <w:uiPriority w:val="99"/>
    <w:rsid w:val="00034DB3"/>
    <w:rPr>
      <w:rFonts w:ascii="Calibri" w:eastAsia="Calibri" w:hAnsi="Calibri"/>
      <w:lang w:val="en-US" w:eastAsia="en-GB"/>
    </w:rPr>
  </w:style>
  <w:style w:type="character" w:styleId="Znakapoznpodarou">
    <w:name w:val="footnote reference"/>
    <w:uiPriority w:val="99"/>
    <w:semiHidden/>
    <w:unhideWhenUsed/>
    <w:rsid w:val="00034DB3"/>
    <w:rPr>
      <w:vertAlign w:val="superscript"/>
    </w:rPr>
  </w:style>
  <w:style w:type="character" w:customStyle="1" w:styleId="ZhlavChar">
    <w:name w:val="Záhlaví Char"/>
    <w:link w:val="Zhlav"/>
    <w:semiHidden/>
    <w:rsid w:val="003006BF"/>
    <w:rPr>
      <w:rFonts w:ascii="Book Antiqua" w:hAnsi="Book Antiqua"/>
      <w:snapToGrid w:val="0"/>
      <w:sz w:val="22"/>
      <w:szCs w:val="22"/>
      <w:lang w:val="en-US" w:eastAsia="en-US"/>
    </w:rPr>
  </w:style>
  <w:style w:type="paragraph" w:styleId="Bezmezer">
    <w:name w:val="No Spacing"/>
    <w:uiPriority w:val="1"/>
    <w:qFormat/>
    <w:rsid w:val="0098607C"/>
    <w:pPr>
      <w:spacing w:afterLines="80"/>
      <w:jc w:val="both"/>
    </w:pPr>
    <w:rPr>
      <w:rFonts w:ascii="Arial" w:hAnsi="Arial" w:cs="Arial"/>
      <w:noProof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0147">
          <w:marLeft w:val="0"/>
          <w:marRight w:val="0"/>
          <w:marTop w:val="90"/>
          <w:marBottom w:val="75"/>
          <w:divBdr>
            <w:top w:val="dashed" w:sz="6" w:space="5" w:color="B2B2B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46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63532">
          <w:marLeft w:val="0"/>
          <w:marRight w:val="0"/>
          <w:marTop w:val="9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nture.com/" TargetMode="External"/><Relationship Id="rId13" Type="http://schemas.openxmlformats.org/officeDocument/2006/relationships/footer" Target="footer1.xml"/><Relationship Id="rId18" Type="http://schemas.openxmlformats.org/officeDocument/2006/relationships/hyperlink" Target="mailto:marketa.cinkova@aspen.p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petr.jarkovsky@aspen.pr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ukas.vejnar@accenture.com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s://www.accenture.com/cz-en/about/company/newsro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&#233;ta%20Cinkov&#225;\Downloads\TI%20Accenture_Mibcon_cloud%20(1)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8D3A6-2019-4BCE-84AF-81A8D639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 Accenture_Mibcon_cloud (1)</Template>
  <TotalTime>17</TotalTime>
  <Pages>2</Pages>
  <Words>788</Words>
  <Characters>4650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Accenture</Company>
  <LinksUpToDate>false</LinksUpToDate>
  <CharactersWithSpaces>5428</CharactersWithSpaces>
  <SharedDoc>false</SharedDoc>
  <HLinks>
    <vt:vector size="18" baseType="variant">
      <vt:variant>
        <vt:i4>7667734</vt:i4>
      </vt:variant>
      <vt:variant>
        <vt:i4>6</vt:i4>
      </vt:variant>
      <vt:variant>
        <vt:i4>0</vt:i4>
      </vt:variant>
      <vt:variant>
        <vt:i4>5</vt:i4>
      </vt:variant>
      <vt:variant>
        <vt:lpwstr>mailto:marketa.cinkova@aspen.pr</vt:lpwstr>
      </vt:variant>
      <vt:variant>
        <vt:lpwstr/>
      </vt:variant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mailto:petr.jarkovsky@aspen.pr</vt:lpwstr>
      </vt:variant>
      <vt:variant>
        <vt:lpwstr/>
      </vt:variant>
      <vt:variant>
        <vt:i4>5832721</vt:i4>
      </vt:variant>
      <vt:variant>
        <vt:i4>0</vt:i4>
      </vt:variant>
      <vt:variant>
        <vt:i4>0</vt:i4>
      </vt:variant>
      <vt:variant>
        <vt:i4>5</vt:i4>
      </vt:variant>
      <vt:variant>
        <vt:lpwstr>http://www.accenture.com/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Cinková</dc:creator>
  <cp:keywords/>
  <cp:lastModifiedBy>Šárka Lachoutová - ASPEN.PR</cp:lastModifiedBy>
  <cp:revision>2</cp:revision>
  <cp:lastPrinted>2004-08-03T08:51:00Z</cp:lastPrinted>
  <dcterms:created xsi:type="dcterms:W3CDTF">2021-09-08T12:45:00Z</dcterms:created>
  <dcterms:modified xsi:type="dcterms:W3CDTF">2021-09-08T12:45:00Z</dcterms:modified>
</cp:coreProperties>
</file>